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0727D8" w:rsidRDefault="00DD2A53" w:rsidP="00122EE7">
      <w:pPr>
        <w:jc w:val="center"/>
        <w:rPr>
          <w:rFonts w:ascii="Tahoma" w:hAnsi="Tahoma" w:cs="Tahoma"/>
          <w:b/>
        </w:rPr>
      </w:pPr>
      <w:r w:rsidRPr="000727D8">
        <w:rPr>
          <w:rFonts w:ascii="Tahoma" w:hAnsi="Tahoma" w:cs="Tahoma"/>
          <w:b/>
        </w:rPr>
        <w:t>Záverečná konferencia projektu Zvyšovanie atraktivity učiteľského povolania</w:t>
      </w:r>
    </w:p>
    <w:p w:rsidR="00DD2A53" w:rsidRPr="000727D8" w:rsidRDefault="00DD2A53" w:rsidP="00122EE7">
      <w:pPr>
        <w:jc w:val="both"/>
        <w:rPr>
          <w:rFonts w:ascii="Tahoma" w:hAnsi="Tahoma" w:cs="Tahoma"/>
        </w:rPr>
      </w:pPr>
    </w:p>
    <w:p w:rsidR="00DD2A53" w:rsidRPr="000727D8" w:rsidRDefault="00DD2A53" w:rsidP="00122EE7">
      <w:pPr>
        <w:jc w:val="both"/>
        <w:rPr>
          <w:rFonts w:ascii="Tahoma" w:hAnsi="Tahoma" w:cs="Tahoma"/>
          <w:i/>
        </w:rPr>
      </w:pPr>
      <w:r w:rsidRPr="000727D8">
        <w:rPr>
          <w:rFonts w:ascii="Tahoma" w:hAnsi="Tahoma" w:cs="Tahoma"/>
        </w:rPr>
        <w:t xml:space="preserve">Zástupcovia školských odborových zväzov a zástupcovia zamestnávateľov v oblasti vzdelávania z celej Európy sa v dňoch 30. – 31. januára 2023 stretli vo Varšave na záverečnej konferencii k projektu financovaného EÚ </w:t>
      </w:r>
      <w:r w:rsidRPr="000727D8">
        <w:rPr>
          <w:rFonts w:ascii="Tahoma" w:hAnsi="Tahoma" w:cs="Tahoma"/>
          <w:i/>
        </w:rPr>
        <w:t xml:space="preserve">"Smerom k akčnému rámcu o atraktívnosti učiteľského povolania prostredníctvom účinného sociálneho dialógu vo vzdelávaní". </w:t>
      </w:r>
      <w:r w:rsidR="00BC3C2F" w:rsidRPr="000727D8">
        <w:rPr>
          <w:rFonts w:ascii="Tahoma" w:hAnsi="Tahoma" w:cs="Tahoma"/>
        </w:rPr>
        <w:t>Odborový zväz školstva na konferencii zastupovala podpredsedníčka zväzu Ingrid Gamčíková a vedúci úradu zväzu Juraj Stodolovský.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>Projekt zastrešovaný Európskym odborárskym výborom pre vzdelávanie (ETUCE) a Európskou federáciou zamestnávateľov v oblasti vzdelávania (EFEE) poskytol priestor pre viac ako 100 účastníkov,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ktorí sa mohli podeliť o svoje názory na to, čo môžu vlády, národní sociálni partneri a tvorcovia </w:t>
      </w:r>
      <w:r w:rsidR="00405BFF" w:rsidRPr="000727D8">
        <w:rPr>
          <w:rFonts w:ascii="Tahoma" w:hAnsi="Tahoma" w:cs="Tahoma"/>
        </w:rPr>
        <w:t>politiky v</w:t>
      </w:r>
      <w:r w:rsidR="00BC3C2F" w:rsidRPr="000727D8">
        <w:rPr>
          <w:rFonts w:ascii="Tahoma" w:hAnsi="Tahoma" w:cs="Tahoma"/>
        </w:rPr>
        <w:t xml:space="preserve"> celej Európe</w:t>
      </w:r>
      <w:r w:rsidRPr="000727D8">
        <w:rPr>
          <w:rFonts w:ascii="Tahoma" w:hAnsi="Tahoma" w:cs="Tahoma"/>
        </w:rPr>
        <w:t xml:space="preserve"> urobiť pre úspešné riešenie problému s nedostatkom učiteľov.</w:t>
      </w:r>
    </w:p>
    <w:p w:rsidR="00DD2A53" w:rsidRPr="000727D8" w:rsidRDefault="00DD2A53" w:rsidP="00122EE7">
      <w:pPr>
        <w:jc w:val="both"/>
        <w:rPr>
          <w:rFonts w:ascii="Tahoma" w:hAnsi="Tahoma" w:cs="Tahoma"/>
          <w:i/>
        </w:rPr>
      </w:pPr>
    </w:p>
    <w:p w:rsidR="00DD2A53" w:rsidRPr="000727D8" w:rsidRDefault="00DD2A53" w:rsidP="00122EE7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>Delegáti ETUCE a EFEE dosiahli dohodu a schválili konečné znenie akčného rámca pre atraktívnosť učiteľského povolania, ktorý zahŕňa</w:t>
      </w:r>
      <w:r w:rsidR="00122EE7" w:rsidRPr="000727D8">
        <w:rPr>
          <w:rFonts w:ascii="Tahoma" w:hAnsi="Tahoma" w:cs="Tahoma"/>
        </w:rPr>
        <w:t xml:space="preserve"> nasledovné</w:t>
      </w:r>
      <w:r w:rsidRPr="000727D8">
        <w:rPr>
          <w:rFonts w:ascii="Tahoma" w:hAnsi="Tahoma" w:cs="Tahoma"/>
        </w:rPr>
        <w:t xml:space="preserve"> kapitoly</w:t>
      </w:r>
      <w:r w:rsidR="00122EE7" w:rsidRPr="000727D8">
        <w:rPr>
          <w:rFonts w:ascii="Tahoma" w:hAnsi="Tahoma" w:cs="Tahoma"/>
        </w:rPr>
        <w:t>:</w:t>
      </w:r>
    </w:p>
    <w:p w:rsidR="0026570F" w:rsidRPr="000727D8" w:rsidRDefault="0026570F" w:rsidP="00122EE7">
      <w:pPr>
        <w:jc w:val="both"/>
        <w:rPr>
          <w:rFonts w:ascii="Tahoma" w:hAnsi="Tahoma" w:cs="Tahoma"/>
        </w:rPr>
      </w:pPr>
    </w:p>
    <w:p w:rsidR="00DE5AAC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úloha sociálnych partnerov a sociálny dialóg v sektore vzdelávania,  </w:t>
      </w:r>
    </w:p>
    <w:p w:rsidR="000F3B10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otázky týkajúce sa pracovných podmienok,  </w:t>
      </w:r>
    </w:p>
    <w:p w:rsidR="000F3B10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počiatočná príprava učiteľov a  kontinuálny profesijný rozvoj, </w:t>
      </w:r>
    </w:p>
    <w:p w:rsidR="000F3B10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reformy </w:t>
      </w:r>
      <w:proofErr w:type="spellStart"/>
      <w:r w:rsidRPr="000727D8">
        <w:rPr>
          <w:rFonts w:ascii="Tahoma" w:hAnsi="Tahoma" w:cs="Tahoma"/>
        </w:rPr>
        <w:t>kurikula</w:t>
      </w:r>
      <w:proofErr w:type="spellEnd"/>
      <w:r w:rsidRPr="000727D8">
        <w:rPr>
          <w:rFonts w:ascii="Tahoma" w:hAnsi="Tahoma" w:cs="Tahoma"/>
        </w:rPr>
        <w:t xml:space="preserve"> a</w:t>
      </w:r>
      <w:r w:rsidR="000F3B10" w:rsidRPr="000727D8">
        <w:rPr>
          <w:rFonts w:ascii="Tahoma" w:hAnsi="Tahoma" w:cs="Tahoma"/>
        </w:rPr>
        <w:t xml:space="preserve"> učiteľská </w:t>
      </w:r>
      <w:r w:rsidRPr="000727D8">
        <w:rPr>
          <w:rFonts w:ascii="Tahoma" w:hAnsi="Tahoma" w:cs="Tahoma"/>
        </w:rPr>
        <w:t xml:space="preserve">autonómia,  </w:t>
      </w:r>
    </w:p>
    <w:p w:rsidR="000F3B10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investície do vzdelávania, </w:t>
      </w:r>
    </w:p>
    <w:p w:rsidR="000F3B10" w:rsidRPr="000727D8" w:rsidRDefault="00DE5AAC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zdravie a bezpečnosť,  </w:t>
      </w:r>
    </w:p>
    <w:p w:rsidR="00DE5AAC" w:rsidRPr="000727D8" w:rsidRDefault="000F3B10" w:rsidP="00122EE7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zvýšenie </w:t>
      </w:r>
      <w:r w:rsidR="00DE5AAC" w:rsidRPr="000727D8">
        <w:rPr>
          <w:rFonts w:ascii="Tahoma" w:hAnsi="Tahoma" w:cs="Tahoma"/>
        </w:rPr>
        <w:t xml:space="preserve">postavenia učiteľskej profesie.  </w:t>
      </w:r>
    </w:p>
    <w:p w:rsidR="007262CC" w:rsidRPr="000727D8" w:rsidRDefault="007262CC" w:rsidP="00122EE7">
      <w:pPr>
        <w:jc w:val="both"/>
        <w:rPr>
          <w:rFonts w:ascii="Tahoma" w:hAnsi="Tahoma" w:cs="Tahoma"/>
        </w:rPr>
      </w:pPr>
    </w:p>
    <w:p w:rsidR="00122EE7" w:rsidRPr="000727D8" w:rsidRDefault="00122EE7" w:rsidP="00122EE7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Dvojdňovej konferencii predsedali </w:t>
      </w:r>
      <w:proofErr w:type="spellStart"/>
      <w:r w:rsidRPr="000727D8">
        <w:rPr>
          <w:rFonts w:ascii="Tahoma" w:hAnsi="Tahoma" w:cs="Tahoma"/>
        </w:rPr>
        <w:t>Larry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Flanagan</w:t>
      </w:r>
      <w:proofErr w:type="spellEnd"/>
      <w:r w:rsidRPr="000727D8">
        <w:rPr>
          <w:rFonts w:ascii="Tahoma" w:hAnsi="Tahoma" w:cs="Tahoma"/>
        </w:rPr>
        <w:t xml:space="preserve"> (prezident ETUCE) a</w:t>
      </w:r>
      <w:r w:rsidR="00405BFF" w:rsidRPr="000727D8">
        <w:rPr>
          <w:rFonts w:ascii="Tahoma" w:hAnsi="Tahoma" w:cs="Tahoma"/>
        </w:rPr>
        <w:t> </w:t>
      </w:r>
      <w:proofErr w:type="spellStart"/>
      <w:r w:rsidRPr="000727D8">
        <w:rPr>
          <w:rFonts w:ascii="Tahoma" w:hAnsi="Tahoma" w:cs="Tahoma"/>
        </w:rPr>
        <w:t>Fergal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McCarthy</w:t>
      </w:r>
      <w:proofErr w:type="spellEnd"/>
      <w:r w:rsidRPr="000727D8">
        <w:rPr>
          <w:rFonts w:ascii="Tahoma" w:hAnsi="Tahoma" w:cs="Tahoma"/>
        </w:rPr>
        <w:t xml:space="preserve"> (viceprezident EFEE).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Cieľom </w:t>
      </w:r>
      <w:r w:rsidR="00405BFF" w:rsidRPr="000727D8">
        <w:rPr>
          <w:rFonts w:ascii="Tahoma" w:hAnsi="Tahoma" w:cs="Tahoma"/>
        </w:rPr>
        <w:t xml:space="preserve">konferencie </w:t>
      </w:r>
      <w:r w:rsidRPr="000727D8">
        <w:rPr>
          <w:rFonts w:ascii="Tahoma" w:hAnsi="Tahoma" w:cs="Tahoma"/>
        </w:rPr>
        <w:t xml:space="preserve">bolo zvýšiť znalosti a povedomie o riadení a politikách EÚ v oblasti vzdelávania, riešiť potreby budovania kapacít sociálneho dialógu a hľadať vzájomné porozumenie jednotlivých aspektov spojených s atraktívnosťou učiteľského povolania. Projekt </w:t>
      </w:r>
      <w:r w:rsidR="00E75672" w:rsidRPr="000727D8">
        <w:rPr>
          <w:rFonts w:ascii="Tahoma" w:hAnsi="Tahoma" w:cs="Tahoma"/>
        </w:rPr>
        <w:t>vychádzal z</w:t>
      </w:r>
      <w:r w:rsidR="00405BFF" w:rsidRPr="000727D8">
        <w:rPr>
          <w:rFonts w:ascii="Tahoma" w:hAnsi="Tahoma" w:cs="Tahoma"/>
        </w:rPr>
        <w:t> </w:t>
      </w:r>
      <w:r w:rsidRPr="000727D8">
        <w:rPr>
          <w:rFonts w:ascii="Tahoma" w:hAnsi="Tahoma" w:cs="Tahoma"/>
        </w:rPr>
        <w:t>prio</w:t>
      </w:r>
      <w:r w:rsidR="00BC3C2F" w:rsidRPr="000727D8">
        <w:rPr>
          <w:rFonts w:ascii="Tahoma" w:hAnsi="Tahoma" w:cs="Tahoma"/>
        </w:rPr>
        <w:t>r</w:t>
      </w:r>
      <w:r w:rsidRPr="000727D8">
        <w:rPr>
          <w:rFonts w:ascii="Tahoma" w:hAnsi="Tahoma" w:cs="Tahoma"/>
        </w:rPr>
        <w:t>ít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dohodnutých v pracovnom programe </w:t>
      </w:r>
      <w:r w:rsidR="00E75672" w:rsidRPr="000727D8">
        <w:rPr>
          <w:rFonts w:ascii="Tahoma" w:hAnsi="Tahoma" w:cs="Tahoma"/>
        </w:rPr>
        <w:t>Európskeho sektorového sociálneho dialógu vo vzdelávaní (</w:t>
      </w:r>
      <w:r w:rsidRPr="000727D8">
        <w:rPr>
          <w:rFonts w:ascii="Tahoma" w:hAnsi="Tahoma" w:cs="Tahoma"/>
        </w:rPr>
        <w:t>ESSDE</w:t>
      </w:r>
      <w:r w:rsidR="00E75672" w:rsidRPr="000727D8">
        <w:rPr>
          <w:rFonts w:ascii="Tahoma" w:hAnsi="Tahoma" w:cs="Tahoma"/>
        </w:rPr>
        <w:t>)</w:t>
      </w:r>
      <w:r w:rsidRPr="000727D8">
        <w:rPr>
          <w:rFonts w:ascii="Tahoma" w:hAnsi="Tahoma" w:cs="Tahoma"/>
        </w:rPr>
        <w:t xml:space="preserve"> na roky 2022 – 2023.</w:t>
      </w:r>
    </w:p>
    <w:p w:rsidR="00122EE7" w:rsidRPr="000727D8" w:rsidRDefault="00122EE7" w:rsidP="00122EE7">
      <w:pPr>
        <w:jc w:val="both"/>
        <w:rPr>
          <w:rFonts w:ascii="Tahoma" w:hAnsi="Tahoma" w:cs="Tahoma"/>
        </w:rPr>
      </w:pPr>
    </w:p>
    <w:p w:rsidR="00210D87" w:rsidRPr="000727D8" w:rsidRDefault="00210D87" w:rsidP="00210D87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Experti </w:t>
      </w:r>
      <w:proofErr w:type="spellStart"/>
      <w:r w:rsidRPr="000727D8">
        <w:rPr>
          <w:rFonts w:ascii="Tahoma" w:hAnsi="Tahoma" w:cs="Tahoma"/>
        </w:rPr>
        <w:t>Howard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Stevenson</w:t>
      </w:r>
      <w:proofErr w:type="spellEnd"/>
      <w:r w:rsidRPr="000727D8">
        <w:rPr>
          <w:rFonts w:ascii="Tahoma" w:hAnsi="Tahoma" w:cs="Tahoma"/>
        </w:rPr>
        <w:t xml:space="preserve"> (</w:t>
      </w:r>
      <w:proofErr w:type="spellStart"/>
      <w:r w:rsidRPr="000727D8">
        <w:rPr>
          <w:rFonts w:ascii="Tahoma" w:hAnsi="Tahoma" w:cs="Tahoma"/>
        </w:rPr>
        <w:t>University</w:t>
      </w:r>
      <w:proofErr w:type="spellEnd"/>
      <w:r w:rsidRPr="000727D8">
        <w:rPr>
          <w:rFonts w:ascii="Tahoma" w:hAnsi="Tahoma" w:cs="Tahoma"/>
        </w:rPr>
        <w:t xml:space="preserve"> of </w:t>
      </w:r>
      <w:proofErr w:type="spellStart"/>
      <w:r w:rsidRPr="000727D8">
        <w:rPr>
          <w:rFonts w:ascii="Tahoma" w:hAnsi="Tahoma" w:cs="Tahoma"/>
        </w:rPr>
        <w:t>Nottingham</w:t>
      </w:r>
      <w:proofErr w:type="spellEnd"/>
      <w:r w:rsidRPr="000727D8">
        <w:rPr>
          <w:rFonts w:ascii="Tahoma" w:hAnsi="Tahoma" w:cs="Tahoma"/>
        </w:rPr>
        <w:t xml:space="preserve">) a </w:t>
      </w:r>
      <w:proofErr w:type="spellStart"/>
      <w:r w:rsidRPr="000727D8">
        <w:rPr>
          <w:rFonts w:ascii="Tahoma" w:hAnsi="Tahoma" w:cs="Tahoma"/>
        </w:rPr>
        <w:t>Alison</w:t>
      </w:r>
      <w:proofErr w:type="spellEnd"/>
      <w:r w:rsidRPr="000727D8">
        <w:rPr>
          <w:rFonts w:ascii="Tahoma" w:hAnsi="Tahoma" w:cs="Tahoma"/>
        </w:rPr>
        <w:t xml:space="preserve"> Louise </w:t>
      </w:r>
      <w:proofErr w:type="spellStart"/>
      <w:r w:rsidRPr="000727D8">
        <w:rPr>
          <w:rFonts w:ascii="Tahoma" w:hAnsi="Tahoma" w:cs="Tahoma"/>
        </w:rPr>
        <w:t>Milner</w:t>
      </w:r>
      <w:proofErr w:type="spellEnd"/>
      <w:r w:rsidRPr="000727D8">
        <w:rPr>
          <w:rFonts w:ascii="Tahoma" w:hAnsi="Tahoma" w:cs="Tahoma"/>
        </w:rPr>
        <w:t xml:space="preserve"> (Univerzita </w:t>
      </w:r>
      <w:proofErr w:type="spellStart"/>
      <w:r w:rsidRPr="000727D8">
        <w:rPr>
          <w:rFonts w:ascii="Tahoma" w:hAnsi="Tahoma" w:cs="Tahoma"/>
        </w:rPr>
        <w:t>Aalborg</w:t>
      </w:r>
      <w:proofErr w:type="spellEnd"/>
      <w:r w:rsidRPr="000727D8">
        <w:rPr>
          <w:rFonts w:ascii="Tahoma" w:hAnsi="Tahoma" w:cs="Tahoma"/>
        </w:rPr>
        <w:t>) prezentovali výsledky výskumu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zameraného na dôležitosť ekonomických </w:t>
      </w:r>
      <w:r w:rsidR="00405BFF" w:rsidRPr="000727D8">
        <w:rPr>
          <w:rFonts w:ascii="Tahoma" w:hAnsi="Tahoma" w:cs="Tahoma"/>
        </w:rPr>
        <w:t>i</w:t>
      </w:r>
      <w:r w:rsidRPr="000727D8">
        <w:rPr>
          <w:rFonts w:ascii="Tahoma" w:hAnsi="Tahoma" w:cs="Tahoma"/>
        </w:rPr>
        <w:t> neekonomických opatrení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>podporujúcich spokojnosť zamestnancov školstva, kvalitu pracovného prostredia, otázky rovnosti a rôzne iniciatívy zamerané na podporu učiteľskej profesie.</w:t>
      </w:r>
    </w:p>
    <w:p w:rsidR="007262CC" w:rsidRPr="000727D8" w:rsidRDefault="007262CC" w:rsidP="00122EE7">
      <w:pPr>
        <w:jc w:val="both"/>
        <w:rPr>
          <w:rFonts w:ascii="Tahoma" w:hAnsi="Tahoma" w:cs="Tahoma"/>
        </w:rPr>
      </w:pPr>
    </w:p>
    <w:p w:rsidR="00210D87" w:rsidRPr="000727D8" w:rsidRDefault="00210D87" w:rsidP="00210D87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Účastníkov pozdravili aj zástupcovia hostiteľskej krajiny </w:t>
      </w:r>
      <w:proofErr w:type="spellStart"/>
      <w:r w:rsidRPr="000727D8">
        <w:rPr>
          <w:rFonts w:ascii="Tahoma" w:hAnsi="Tahoma" w:cs="Tahoma"/>
        </w:rPr>
        <w:t>Ryszard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Proksa</w:t>
      </w:r>
      <w:proofErr w:type="spellEnd"/>
      <w:r w:rsidRPr="000727D8">
        <w:rPr>
          <w:rFonts w:ascii="Tahoma" w:hAnsi="Tahoma" w:cs="Tahoma"/>
        </w:rPr>
        <w:t xml:space="preserve"> (predseda sekcie vzdelávania, odborový zväz „</w:t>
      </w:r>
      <w:proofErr w:type="spellStart"/>
      <w:r w:rsidRPr="000727D8">
        <w:rPr>
          <w:rFonts w:ascii="Tahoma" w:hAnsi="Tahoma" w:cs="Tahoma"/>
        </w:rPr>
        <w:t>Solidarność</w:t>
      </w:r>
      <w:proofErr w:type="spellEnd"/>
      <w:r w:rsidRPr="000727D8">
        <w:rPr>
          <w:rFonts w:ascii="Tahoma" w:hAnsi="Tahoma" w:cs="Tahoma"/>
        </w:rPr>
        <w:t>“)</w:t>
      </w:r>
      <w:r w:rsidR="00945924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a </w:t>
      </w:r>
      <w:proofErr w:type="spellStart"/>
      <w:r w:rsidRPr="000727D8">
        <w:rPr>
          <w:rFonts w:ascii="Tahoma" w:hAnsi="Tahoma" w:cs="Tahoma"/>
        </w:rPr>
        <w:t>Dariusz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Piontkowski</w:t>
      </w:r>
      <w:proofErr w:type="spellEnd"/>
      <w:r w:rsidRPr="000727D8">
        <w:rPr>
          <w:rFonts w:ascii="Tahoma" w:hAnsi="Tahoma" w:cs="Tahoma"/>
        </w:rPr>
        <w:t xml:space="preserve"> (námestník </w:t>
      </w:r>
      <w:r w:rsidR="0070065B" w:rsidRPr="000727D8">
        <w:rPr>
          <w:rFonts w:ascii="Tahoma" w:hAnsi="Tahoma" w:cs="Tahoma"/>
        </w:rPr>
        <w:t>poľského ministra školstva</w:t>
      </w:r>
      <w:r w:rsidRPr="000727D8">
        <w:rPr>
          <w:rFonts w:ascii="Tahoma" w:hAnsi="Tahoma" w:cs="Tahoma"/>
        </w:rPr>
        <w:t>). Mi</w:t>
      </w:r>
      <w:r w:rsidR="0070065B" w:rsidRPr="000727D8">
        <w:rPr>
          <w:rFonts w:ascii="Tahoma" w:hAnsi="Tahoma" w:cs="Tahoma"/>
        </w:rPr>
        <w:t xml:space="preserve">chael </w:t>
      </w:r>
      <w:proofErr w:type="spellStart"/>
      <w:r w:rsidR="0070065B" w:rsidRPr="000727D8">
        <w:rPr>
          <w:rFonts w:ascii="Tahoma" w:hAnsi="Tahoma" w:cs="Tahoma"/>
        </w:rPr>
        <w:t>Teutsch</w:t>
      </w:r>
      <w:proofErr w:type="spellEnd"/>
      <w:r w:rsidR="0070065B" w:rsidRPr="000727D8">
        <w:rPr>
          <w:rFonts w:ascii="Tahoma" w:hAnsi="Tahoma" w:cs="Tahoma"/>
        </w:rPr>
        <w:t xml:space="preserve"> (vedúci oddelenia</w:t>
      </w:r>
      <w:r w:rsidR="00405BFF" w:rsidRPr="000727D8">
        <w:rPr>
          <w:rFonts w:ascii="Tahoma" w:hAnsi="Tahoma" w:cs="Tahoma"/>
        </w:rPr>
        <w:t xml:space="preserve"> </w:t>
      </w:r>
      <w:r w:rsidR="0070065B" w:rsidRPr="000727D8">
        <w:rPr>
          <w:rFonts w:ascii="Tahoma" w:hAnsi="Tahoma" w:cs="Tahoma"/>
        </w:rPr>
        <w:t>generálneho riaditeľstva Európskej komisie pre vzdelávanie a kultúru</w:t>
      </w:r>
      <w:r w:rsidRPr="000727D8">
        <w:rPr>
          <w:rFonts w:ascii="Tahoma" w:hAnsi="Tahoma" w:cs="Tahoma"/>
        </w:rPr>
        <w:t>) predstavil iniciatívy, ktoré v tejto oblast</w:t>
      </w:r>
      <w:r w:rsidR="0070065B" w:rsidRPr="000727D8">
        <w:rPr>
          <w:rFonts w:ascii="Tahoma" w:hAnsi="Tahoma" w:cs="Tahoma"/>
        </w:rPr>
        <w:t xml:space="preserve">i uskutočnila Európska komisia a spolu so </w:t>
      </w:r>
      <w:proofErr w:type="spellStart"/>
      <w:r w:rsidR="0070065B" w:rsidRPr="000727D8">
        <w:rPr>
          <w:rFonts w:ascii="Tahoma" w:hAnsi="Tahoma" w:cs="Tahoma"/>
        </w:rPr>
        <w:t>Slawomirom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="0070065B" w:rsidRPr="000727D8">
        <w:rPr>
          <w:rFonts w:ascii="Tahoma" w:hAnsi="Tahoma" w:cs="Tahoma"/>
        </w:rPr>
        <w:t>Broniarzom</w:t>
      </w:r>
      <w:proofErr w:type="spellEnd"/>
      <w:r w:rsidR="0070065B" w:rsidRPr="000727D8">
        <w:rPr>
          <w:rFonts w:ascii="Tahoma" w:hAnsi="Tahoma" w:cs="Tahoma"/>
        </w:rPr>
        <w:t xml:space="preserve"> (predseda odborového zväzu poľských učiteľov, ZNP)</w:t>
      </w:r>
      <w:r w:rsidR="00405BFF" w:rsidRPr="000727D8">
        <w:rPr>
          <w:rFonts w:ascii="Tahoma" w:hAnsi="Tahoma" w:cs="Tahoma"/>
        </w:rPr>
        <w:t xml:space="preserve"> a </w:t>
      </w:r>
      <w:proofErr w:type="spellStart"/>
      <w:r w:rsidRPr="000727D8">
        <w:rPr>
          <w:rFonts w:ascii="Tahoma" w:hAnsi="Tahoma" w:cs="Tahoma"/>
        </w:rPr>
        <w:t>Paul</w:t>
      </w:r>
      <w:r w:rsidR="0070065B" w:rsidRPr="000727D8">
        <w:rPr>
          <w:rFonts w:ascii="Tahoma" w:hAnsi="Tahoma" w:cs="Tahoma"/>
        </w:rPr>
        <w:t>om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Fields</w:t>
      </w:r>
      <w:r w:rsidR="0070065B" w:rsidRPr="000727D8">
        <w:rPr>
          <w:rFonts w:ascii="Tahoma" w:hAnsi="Tahoma" w:cs="Tahoma"/>
        </w:rPr>
        <w:t>om</w:t>
      </w:r>
      <w:proofErr w:type="spellEnd"/>
      <w:r w:rsidRPr="000727D8">
        <w:rPr>
          <w:rFonts w:ascii="Tahoma" w:hAnsi="Tahoma" w:cs="Tahoma"/>
        </w:rPr>
        <w:t xml:space="preserve"> (</w:t>
      </w:r>
      <w:r w:rsidR="0070065B" w:rsidRPr="000727D8">
        <w:rPr>
          <w:rFonts w:ascii="Tahoma" w:hAnsi="Tahoma" w:cs="Tahoma"/>
        </w:rPr>
        <w:t>predseda írskej rady pre vzdelávanie a prípravu) diskutovali</w:t>
      </w:r>
      <w:r w:rsidRPr="000727D8">
        <w:rPr>
          <w:rFonts w:ascii="Tahoma" w:hAnsi="Tahoma" w:cs="Tahoma"/>
        </w:rPr>
        <w:t xml:space="preserve"> v záverečnom paneli o </w:t>
      </w:r>
      <w:r w:rsidR="0070065B" w:rsidRPr="000727D8">
        <w:rPr>
          <w:rFonts w:ascii="Tahoma" w:hAnsi="Tahoma" w:cs="Tahoma"/>
        </w:rPr>
        <w:lastRenderedPageBreak/>
        <w:t>možnostiach</w:t>
      </w:r>
      <w:r w:rsidRPr="000727D8">
        <w:rPr>
          <w:rFonts w:ascii="Tahoma" w:hAnsi="Tahoma" w:cs="Tahoma"/>
        </w:rPr>
        <w:t xml:space="preserve"> pre budúcnosť vzdelávania: ako môžu národní sociálni partneri a</w:t>
      </w:r>
      <w:r w:rsidR="00405BFF" w:rsidRPr="000727D8">
        <w:rPr>
          <w:rFonts w:ascii="Tahoma" w:hAnsi="Tahoma" w:cs="Tahoma"/>
        </w:rPr>
        <w:t> </w:t>
      </w:r>
      <w:r w:rsidR="0070065B" w:rsidRPr="000727D8">
        <w:rPr>
          <w:rFonts w:ascii="Tahoma" w:hAnsi="Tahoma" w:cs="Tahoma"/>
        </w:rPr>
        <w:t>európske</w:t>
      </w:r>
      <w:r w:rsidR="00405BFF" w:rsidRPr="000727D8">
        <w:rPr>
          <w:rFonts w:ascii="Tahoma" w:hAnsi="Tahoma" w:cs="Tahoma"/>
        </w:rPr>
        <w:t xml:space="preserve"> </w:t>
      </w:r>
      <w:r w:rsidR="0070065B" w:rsidRPr="000727D8">
        <w:rPr>
          <w:rFonts w:ascii="Tahoma" w:hAnsi="Tahoma" w:cs="Tahoma"/>
        </w:rPr>
        <w:t>inštitúcie pomôcť</w:t>
      </w:r>
      <w:r w:rsidRPr="000727D8">
        <w:rPr>
          <w:rFonts w:ascii="Tahoma" w:hAnsi="Tahoma" w:cs="Tahoma"/>
        </w:rPr>
        <w:t xml:space="preserve"> zvýšiť atraktivitu učiteľského povolania.</w:t>
      </w:r>
    </w:p>
    <w:p w:rsidR="00210D87" w:rsidRPr="000727D8" w:rsidRDefault="00210D87" w:rsidP="00122EE7">
      <w:pPr>
        <w:jc w:val="both"/>
        <w:rPr>
          <w:rFonts w:ascii="Tahoma" w:hAnsi="Tahoma" w:cs="Tahoma"/>
        </w:rPr>
      </w:pPr>
    </w:p>
    <w:p w:rsidR="0070065B" w:rsidRPr="000727D8" w:rsidRDefault="0070065B" w:rsidP="0070065B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 xml:space="preserve">Predseda ETUCE </w:t>
      </w:r>
      <w:proofErr w:type="spellStart"/>
      <w:r w:rsidRPr="000727D8">
        <w:rPr>
          <w:rFonts w:ascii="Tahoma" w:hAnsi="Tahoma" w:cs="Tahoma"/>
        </w:rPr>
        <w:t>Larry</w:t>
      </w:r>
      <w:proofErr w:type="spellEnd"/>
      <w:r w:rsidR="00405BFF" w:rsidRPr="000727D8">
        <w:rPr>
          <w:rFonts w:ascii="Tahoma" w:hAnsi="Tahoma" w:cs="Tahoma"/>
        </w:rPr>
        <w:t xml:space="preserve"> </w:t>
      </w:r>
      <w:proofErr w:type="spellStart"/>
      <w:r w:rsidRPr="000727D8">
        <w:rPr>
          <w:rFonts w:ascii="Tahoma" w:hAnsi="Tahoma" w:cs="Tahoma"/>
        </w:rPr>
        <w:t>Flanagan</w:t>
      </w:r>
      <w:proofErr w:type="spellEnd"/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 xml:space="preserve">na záver vyzval zúčastnených sociálnych partnerov, aby na národnej úrovni prijali opatrenia na zvýšenie atraktívnosti učiteľského </w:t>
      </w:r>
      <w:r w:rsidR="00BC3C2F" w:rsidRPr="000727D8">
        <w:rPr>
          <w:rFonts w:ascii="Tahoma" w:hAnsi="Tahoma" w:cs="Tahoma"/>
        </w:rPr>
        <w:t>povolania. P</w:t>
      </w:r>
      <w:r w:rsidRPr="000727D8">
        <w:rPr>
          <w:rFonts w:ascii="Tahoma" w:hAnsi="Tahoma" w:cs="Tahoma"/>
        </w:rPr>
        <w:t>ripomenul, že zatiaľ čo</w:t>
      </w:r>
      <w:r w:rsidR="00F47515" w:rsidRPr="000727D8">
        <w:rPr>
          <w:rFonts w:ascii="Tahoma" w:hAnsi="Tahoma" w:cs="Tahoma"/>
        </w:rPr>
        <w:t xml:space="preserve"> riešenie</w:t>
      </w:r>
      <w:r w:rsidRPr="000727D8">
        <w:rPr>
          <w:rFonts w:ascii="Tahoma" w:hAnsi="Tahoma" w:cs="Tahoma"/>
        </w:rPr>
        <w:t xml:space="preserve"> nízke</w:t>
      </w:r>
      <w:r w:rsidR="00F47515" w:rsidRPr="000727D8">
        <w:rPr>
          <w:rFonts w:ascii="Tahoma" w:hAnsi="Tahoma" w:cs="Tahoma"/>
        </w:rPr>
        <w:t>ho odmeňovania učiteľov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>je kľúčové, existujú aj iné opatrenia na zlepšeni</w:t>
      </w:r>
      <w:r w:rsidR="00F47515" w:rsidRPr="000727D8">
        <w:rPr>
          <w:rFonts w:ascii="Tahoma" w:hAnsi="Tahoma" w:cs="Tahoma"/>
        </w:rPr>
        <w:t>e pracovných podmienok a uznania</w:t>
      </w:r>
      <w:r w:rsidRPr="000727D8">
        <w:rPr>
          <w:rFonts w:ascii="Tahoma" w:hAnsi="Tahoma" w:cs="Tahoma"/>
        </w:rPr>
        <w:t xml:space="preserve"> práce učiteľov, ktoré tiež prispievajú k zvýšeniu atraktivity učiteľského po</w:t>
      </w:r>
      <w:r w:rsidR="00F47515" w:rsidRPr="000727D8">
        <w:rPr>
          <w:rFonts w:ascii="Tahoma" w:hAnsi="Tahoma" w:cs="Tahoma"/>
        </w:rPr>
        <w:t>volania a sú finančne nenáročné. Z</w:t>
      </w:r>
      <w:r w:rsidRPr="000727D8">
        <w:rPr>
          <w:rFonts w:ascii="Tahoma" w:hAnsi="Tahoma" w:cs="Tahoma"/>
        </w:rPr>
        <w:t xml:space="preserve">ávisia len od politickej </w:t>
      </w:r>
      <w:r w:rsidR="00F47515" w:rsidRPr="000727D8">
        <w:rPr>
          <w:rFonts w:ascii="Tahoma" w:hAnsi="Tahoma" w:cs="Tahoma"/>
        </w:rPr>
        <w:t>vôle</w:t>
      </w:r>
      <w:r w:rsidRPr="000727D8">
        <w:rPr>
          <w:rFonts w:ascii="Tahoma" w:hAnsi="Tahoma" w:cs="Tahoma"/>
        </w:rPr>
        <w:t xml:space="preserve"> zapojiť sa do efektívneho sociálneho dialógu.</w:t>
      </w:r>
    </w:p>
    <w:p w:rsidR="0070065B" w:rsidRPr="000727D8" w:rsidRDefault="0070065B" w:rsidP="00122EE7">
      <w:pPr>
        <w:jc w:val="both"/>
        <w:rPr>
          <w:rFonts w:ascii="Tahoma" w:hAnsi="Tahoma" w:cs="Tahoma"/>
        </w:rPr>
      </w:pPr>
    </w:p>
    <w:p w:rsidR="00F47515" w:rsidRPr="000727D8" w:rsidRDefault="00F47515" w:rsidP="00F47515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>Implementácia Akčného rámca pre atraktívnosť učiteľského povolania bude tento rok prerokovaná v pracovných skupinách výboru Európskeho sociálneho dialógu a dokument bude následne predložený na prijatie vo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>výbore</w:t>
      </w:r>
      <w:r w:rsidR="00405BFF" w:rsidRPr="000727D8">
        <w:rPr>
          <w:rFonts w:ascii="Tahoma" w:hAnsi="Tahoma" w:cs="Tahoma"/>
        </w:rPr>
        <w:t xml:space="preserve"> </w:t>
      </w:r>
      <w:r w:rsidRPr="000727D8">
        <w:rPr>
          <w:rFonts w:ascii="Tahoma" w:hAnsi="Tahoma" w:cs="Tahoma"/>
        </w:rPr>
        <w:t>ESSDE počas jeho plenárneho zasadnutia dňa 14. decembra 2023.</w:t>
      </w:r>
    </w:p>
    <w:p w:rsidR="00945924" w:rsidRPr="000727D8" w:rsidRDefault="00945924" w:rsidP="00F47515">
      <w:pPr>
        <w:jc w:val="both"/>
        <w:rPr>
          <w:rFonts w:ascii="Tahoma" w:hAnsi="Tahoma" w:cs="Tahoma"/>
        </w:rPr>
      </w:pPr>
    </w:p>
    <w:p w:rsidR="007262CC" w:rsidRDefault="000727D8" w:rsidP="000727D8">
      <w:pPr>
        <w:jc w:val="both"/>
        <w:rPr>
          <w:rFonts w:ascii="Tahoma" w:hAnsi="Tahoma" w:cs="Tahoma"/>
        </w:rPr>
      </w:pPr>
      <w:hyperlink r:id="rId6" w:history="1">
        <w:r w:rsidRPr="000727D8">
          <w:rPr>
            <w:rStyle w:val="Hypertextovprepojenie"/>
            <w:rFonts w:ascii="Tahoma" w:hAnsi="Tahoma" w:cs="Tahoma"/>
          </w:rPr>
          <w:t>Akčný rámec pre zvýšenie atraktívnosti učiteľského povolania</w:t>
        </w:r>
      </w:hyperlink>
      <w:bookmarkStart w:id="0" w:name="_GoBack"/>
      <w:bookmarkEnd w:id="0"/>
    </w:p>
    <w:p w:rsidR="000727D8" w:rsidRDefault="000727D8" w:rsidP="000727D8">
      <w:pPr>
        <w:jc w:val="both"/>
        <w:rPr>
          <w:rFonts w:ascii="Tahoma" w:hAnsi="Tahoma" w:cs="Tahoma"/>
        </w:rPr>
      </w:pPr>
    </w:p>
    <w:p w:rsidR="000727D8" w:rsidRDefault="000727D8" w:rsidP="000727D8">
      <w:pPr>
        <w:jc w:val="both"/>
        <w:rPr>
          <w:rFonts w:ascii="Tahoma" w:hAnsi="Tahoma" w:cs="Tahoma"/>
        </w:rPr>
      </w:pPr>
    </w:p>
    <w:p w:rsidR="000727D8" w:rsidRPr="000727D8" w:rsidRDefault="000727D8" w:rsidP="000727D8">
      <w:pPr>
        <w:jc w:val="both"/>
        <w:rPr>
          <w:rFonts w:ascii="Tahoma" w:hAnsi="Tahoma" w:cs="Tahoma"/>
        </w:rPr>
      </w:pPr>
      <w:r w:rsidRPr="000727D8">
        <w:rPr>
          <w:rFonts w:ascii="Tahoma" w:hAnsi="Tahoma" w:cs="Tahoma"/>
        </w:rPr>
        <w:t>Zapísal: Juraj Stodolovský</w:t>
      </w:r>
    </w:p>
    <w:p w:rsidR="000727D8" w:rsidRPr="000727D8" w:rsidRDefault="000727D8" w:rsidP="000727D8">
      <w:pPr>
        <w:jc w:val="both"/>
        <w:rPr>
          <w:rFonts w:ascii="Tahoma" w:hAnsi="Tahoma" w:cs="Tahoma"/>
        </w:rPr>
      </w:pPr>
    </w:p>
    <w:sectPr w:rsidR="000727D8" w:rsidRPr="000727D8" w:rsidSect="005B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A4"/>
    <w:multiLevelType w:val="hybridMultilevel"/>
    <w:tmpl w:val="18F27BB8"/>
    <w:lvl w:ilvl="0" w:tplc="3C142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221"/>
    <w:rsid w:val="000727D8"/>
    <w:rsid w:val="000F3B10"/>
    <w:rsid w:val="00122EE7"/>
    <w:rsid w:val="00210D87"/>
    <w:rsid w:val="0026570F"/>
    <w:rsid w:val="00405BFF"/>
    <w:rsid w:val="00503221"/>
    <w:rsid w:val="005B27DB"/>
    <w:rsid w:val="0070065B"/>
    <w:rsid w:val="007262CC"/>
    <w:rsid w:val="00945924"/>
    <w:rsid w:val="00A366DB"/>
    <w:rsid w:val="00BC3C2F"/>
    <w:rsid w:val="00DB599F"/>
    <w:rsid w:val="00DD2A53"/>
    <w:rsid w:val="00DE5AAC"/>
    <w:rsid w:val="00E75672"/>
    <w:rsid w:val="00F4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7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5A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72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raktivita_zaver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4</cp:revision>
  <dcterms:created xsi:type="dcterms:W3CDTF">2023-03-11T18:57:00Z</dcterms:created>
  <dcterms:modified xsi:type="dcterms:W3CDTF">2023-03-15T12:36:00Z</dcterms:modified>
</cp:coreProperties>
</file>