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A152" w14:textId="0085C39C" w:rsidR="006E4F9C" w:rsidRPr="00F75361" w:rsidRDefault="006E4F9C" w:rsidP="00F94B95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>Dňa 12. októbra 2022 zasadala HSR SR k návrhu štátneho rozpočtu na rok 2023.</w:t>
      </w:r>
    </w:p>
    <w:p w14:paraId="19CA1C4E" w14:textId="04D52153" w:rsidR="006E4F9C" w:rsidRPr="00F75361" w:rsidRDefault="006E4F9C" w:rsidP="00F94B95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>Základné údaje:</w:t>
      </w:r>
    </w:p>
    <w:p w14:paraId="5DB3DA10" w14:textId="667C5091" w:rsidR="006E4F9C" w:rsidRPr="00F75361" w:rsidRDefault="006E4F9C" w:rsidP="00F94B95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Celkové príjmy štátneho rozpočtu na rok 2023 sú rozpočtované sumou 26,69 miliardy eur. </w:t>
      </w:r>
    </w:p>
    <w:p w14:paraId="7E65C779" w14:textId="1B2CA4CA" w:rsidR="006E4F9C" w:rsidRPr="00F75361" w:rsidRDefault="006E4F9C" w:rsidP="00F94B95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>Celkové výdavky štátneho rozpočtu na rok 2023  sú rozpočtované sumou 35,04 miliardy eur, schodok štátneho rozpočtu na rok 2023 je 8,35 miliardy.</w:t>
      </w:r>
    </w:p>
    <w:p w14:paraId="1ABA8FB5" w14:textId="7C1A26A9" w:rsidR="006E4F9C" w:rsidRPr="00F75361" w:rsidRDefault="006E4F9C" w:rsidP="00F94B95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>Rezerva a všeobecná pokladničná spáva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66"/>
        <w:gridCol w:w="1596"/>
      </w:tblGrid>
      <w:tr w:rsidR="006E4F9C" w:rsidRPr="00F75361" w14:paraId="723AADEF" w14:textId="77777777" w:rsidTr="000B7163">
        <w:trPr>
          <w:trHeight w:hRule="exact" w:val="567"/>
        </w:trPr>
        <w:tc>
          <w:tcPr>
            <w:tcW w:w="7508" w:type="dxa"/>
            <w:vAlign w:val="center"/>
          </w:tcPr>
          <w:p w14:paraId="77F0A98C" w14:textId="071D8EB2" w:rsidR="006E4F9C" w:rsidRPr="00F75361" w:rsidRDefault="006E4F9C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163" w:rsidRPr="00F75361">
              <w:rPr>
                <w:rFonts w:ascii="Times New Roman" w:hAnsi="Times New Roman" w:cs="Times New Roman"/>
                <w:sz w:val="24"/>
                <w:szCs w:val="24"/>
              </w:rPr>
              <w:t>Rezerva vlády</w:t>
            </w:r>
          </w:p>
        </w:tc>
        <w:tc>
          <w:tcPr>
            <w:tcW w:w="1554" w:type="dxa"/>
            <w:vAlign w:val="center"/>
          </w:tcPr>
          <w:p w14:paraId="66A565AE" w14:textId="6D510FF6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5 000 000</w:t>
            </w:r>
          </w:p>
        </w:tc>
      </w:tr>
      <w:tr w:rsidR="006E4F9C" w:rsidRPr="00F75361" w14:paraId="78BBA494" w14:textId="77777777" w:rsidTr="000B7163">
        <w:trPr>
          <w:trHeight w:hRule="exact" w:val="567"/>
        </w:trPr>
        <w:tc>
          <w:tcPr>
            <w:tcW w:w="7508" w:type="dxa"/>
            <w:vAlign w:val="center"/>
          </w:tcPr>
          <w:p w14:paraId="502F8EFA" w14:textId="34EE4D86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Rezerva predsedu vlády</w:t>
            </w:r>
          </w:p>
        </w:tc>
        <w:tc>
          <w:tcPr>
            <w:tcW w:w="1554" w:type="dxa"/>
            <w:vAlign w:val="center"/>
          </w:tcPr>
          <w:p w14:paraId="4B8CEF0D" w14:textId="3F872834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</w:tr>
      <w:tr w:rsidR="006E4F9C" w:rsidRPr="00F75361" w14:paraId="672BB6DE" w14:textId="77777777" w:rsidTr="000B7163">
        <w:trPr>
          <w:trHeight w:hRule="exact" w:val="567"/>
        </w:trPr>
        <w:tc>
          <w:tcPr>
            <w:tcW w:w="7508" w:type="dxa"/>
            <w:vAlign w:val="center"/>
          </w:tcPr>
          <w:p w14:paraId="51A5C052" w14:textId="0FA01B17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Rezerva na prostriedky Európskej únie  a odvody Európskej únii</w:t>
            </w:r>
          </w:p>
        </w:tc>
        <w:tc>
          <w:tcPr>
            <w:tcW w:w="1554" w:type="dxa"/>
            <w:vAlign w:val="center"/>
          </w:tcPr>
          <w:p w14:paraId="5ECFDBAF" w14:textId="2676418D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404 870 000</w:t>
            </w:r>
          </w:p>
        </w:tc>
      </w:tr>
      <w:tr w:rsidR="006E4F9C" w:rsidRPr="00F75361" w14:paraId="4AA9BF06" w14:textId="77777777" w:rsidTr="000B7163">
        <w:trPr>
          <w:trHeight w:hRule="exact" w:val="567"/>
        </w:trPr>
        <w:tc>
          <w:tcPr>
            <w:tcW w:w="7508" w:type="dxa"/>
            <w:vAlign w:val="center"/>
          </w:tcPr>
          <w:p w14:paraId="13134AE0" w14:textId="56522BE0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Rezerva na riešenie vplyvov legislatívnych zmien</w:t>
            </w:r>
          </w:p>
        </w:tc>
        <w:tc>
          <w:tcPr>
            <w:tcW w:w="1554" w:type="dxa"/>
            <w:vAlign w:val="center"/>
          </w:tcPr>
          <w:p w14:paraId="662C4040" w14:textId="427ACE2D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891 009 546</w:t>
            </w:r>
          </w:p>
        </w:tc>
      </w:tr>
      <w:tr w:rsidR="006E4F9C" w:rsidRPr="00F75361" w14:paraId="4D3EEED7" w14:textId="77777777" w:rsidTr="000B7163">
        <w:trPr>
          <w:trHeight w:hRule="exact" w:val="567"/>
        </w:trPr>
        <w:tc>
          <w:tcPr>
            <w:tcW w:w="7508" w:type="dxa"/>
            <w:vAlign w:val="center"/>
          </w:tcPr>
          <w:p w14:paraId="6D1238F8" w14:textId="0990D7B8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 xml:space="preserve">Rezerva na riešenie krízových situácií mimo času vojny a vojnového stavu a vykonávanie povodňových prác </w:t>
            </w:r>
          </w:p>
        </w:tc>
        <w:tc>
          <w:tcPr>
            <w:tcW w:w="1554" w:type="dxa"/>
            <w:vAlign w:val="center"/>
          </w:tcPr>
          <w:p w14:paraId="6F208298" w14:textId="3420F6F4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 xml:space="preserve">21 000 000 </w:t>
            </w:r>
          </w:p>
        </w:tc>
      </w:tr>
      <w:tr w:rsidR="006E4F9C" w:rsidRPr="00F75361" w14:paraId="09E15A52" w14:textId="77777777" w:rsidTr="000B7163">
        <w:trPr>
          <w:trHeight w:hRule="exact" w:val="567"/>
        </w:trPr>
        <w:tc>
          <w:tcPr>
            <w:tcW w:w="7508" w:type="dxa"/>
            <w:vAlign w:val="center"/>
          </w:tcPr>
          <w:p w14:paraId="025D7E0F" w14:textId="48CD7B50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 xml:space="preserve">Rezerva na realizáciu súdnych a exekučných rozhodnutí </w:t>
            </w:r>
          </w:p>
        </w:tc>
        <w:tc>
          <w:tcPr>
            <w:tcW w:w="1554" w:type="dxa"/>
            <w:vAlign w:val="center"/>
          </w:tcPr>
          <w:p w14:paraId="57B9B1A8" w14:textId="7C14A50B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10 000 000</w:t>
            </w:r>
          </w:p>
        </w:tc>
      </w:tr>
      <w:tr w:rsidR="006E4F9C" w:rsidRPr="00F75361" w14:paraId="7FFB04D3" w14:textId="77777777" w:rsidTr="000B7163">
        <w:trPr>
          <w:trHeight w:hRule="exact" w:val="567"/>
        </w:trPr>
        <w:tc>
          <w:tcPr>
            <w:tcW w:w="7508" w:type="dxa"/>
            <w:vAlign w:val="center"/>
          </w:tcPr>
          <w:p w14:paraId="2552AF91" w14:textId="4B4F6E07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Rezerva na mzdy a poistné</w:t>
            </w:r>
          </w:p>
        </w:tc>
        <w:tc>
          <w:tcPr>
            <w:tcW w:w="1554" w:type="dxa"/>
            <w:vAlign w:val="center"/>
          </w:tcPr>
          <w:p w14:paraId="702614DB" w14:textId="58A9C8EC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187 661 844</w:t>
            </w:r>
          </w:p>
        </w:tc>
      </w:tr>
      <w:tr w:rsidR="006E4F9C" w:rsidRPr="00F75361" w14:paraId="17B87C59" w14:textId="77777777" w:rsidTr="000B7163">
        <w:trPr>
          <w:trHeight w:hRule="exact" w:val="567"/>
        </w:trPr>
        <w:tc>
          <w:tcPr>
            <w:tcW w:w="7508" w:type="dxa"/>
            <w:vAlign w:val="center"/>
          </w:tcPr>
          <w:p w14:paraId="5BF508D0" w14:textId="5F77DAD9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 xml:space="preserve">Rezerva na negatívne vplyvy pandémie ochorenia COVID-19 a výdavky v zdravotníctve </w:t>
            </w:r>
          </w:p>
        </w:tc>
        <w:tc>
          <w:tcPr>
            <w:tcW w:w="1554" w:type="dxa"/>
            <w:vAlign w:val="center"/>
          </w:tcPr>
          <w:p w14:paraId="625FFEA2" w14:textId="167AD548" w:rsidR="006E4F9C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 xml:space="preserve">400 000 000 </w:t>
            </w:r>
          </w:p>
        </w:tc>
      </w:tr>
      <w:tr w:rsidR="000B7163" w:rsidRPr="00F75361" w14:paraId="46331ABD" w14:textId="77777777" w:rsidTr="000B7163">
        <w:trPr>
          <w:trHeight w:hRule="exact" w:val="567"/>
        </w:trPr>
        <w:tc>
          <w:tcPr>
            <w:tcW w:w="7508" w:type="dxa"/>
            <w:vAlign w:val="center"/>
          </w:tcPr>
          <w:p w14:paraId="03CD4C09" w14:textId="75870902" w:rsidR="000B7163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Rezerva na výdavky súvisiace s vojnovým konfliktom na Ukrajine</w:t>
            </w:r>
          </w:p>
        </w:tc>
        <w:tc>
          <w:tcPr>
            <w:tcW w:w="1554" w:type="dxa"/>
            <w:vAlign w:val="center"/>
          </w:tcPr>
          <w:p w14:paraId="75EAA7C5" w14:textId="5A44A1BA" w:rsidR="000B7163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 xml:space="preserve">100 000 000 </w:t>
            </w:r>
          </w:p>
        </w:tc>
      </w:tr>
      <w:tr w:rsidR="000B7163" w:rsidRPr="00F75361" w14:paraId="7EA6C841" w14:textId="77777777" w:rsidTr="000B7163">
        <w:trPr>
          <w:trHeight w:hRule="exact" w:val="567"/>
        </w:trPr>
        <w:tc>
          <w:tcPr>
            <w:tcW w:w="7508" w:type="dxa"/>
            <w:vAlign w:val="center"/>
          </w:tcPr>
          <w:p w14:paraId="464865BA" w14:textId="4F826D78" w:rsidR="000B7163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Rezerva na kompenzačné opatrenia súvisiace s rastom energií</w:t>
            </w:r>
          </w:p>
        </w:tc>
        <w:tc>
          <w:tcPr>
            <w:tcW w:w="1554" w:type="dxa"/>
            <w:vAlign w:val="center"/>
          </w:tcPr>
          <w:p w14:paraId="62735C3F" w14:textId="4829509B" w:rsidR="000B7163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3 400 000 000</w:t>
            </w:r>
          </w:p>
        </w:tc>
      </w:tr>
      <w:tr w:rsidR="000B7163" w:rsidRPr="00F75361" w14:paraId="7746417F" w14:textId="77777777" w:rsidTr="000B7163">
        <w:trPr>
          <w:trHeight w:hRule="exact" w:val="567"/>
        </w:trPr>
        <w:tc>
          <w:tcPr>
            <w:tcW w:w="7508" w:type="dxa"/>
            <w:vAlign w:val="center"/>
          </w:tcPr>
          <w:p w14:paraId="7BF4AB2F" w14:textId="1641EF51" w:rsidR="000B7163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 xml:space="preserve">Spolu </w:t>
            </w:r>
          </w:p>
        </w:tc>
        <w:tc>
          <w:tcPr>
            <w:tcW w:w="1554" w:type="dxa"/>
            <w:vAlign w:val="center"/>
          </w:tcPr>
          <w:p w14:paraId="74583716" w14:textId="67BB62B8" w:rsidR="000B7163" w:rsidRPr="00F75361" w:rsidRDefault="000B7163" w:rsidP="00F9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 xml:space="preserve">5 421 041 390 </w:t>
            </w:r>
          </w:p>
        </w:tc>
      </w:tr>
    </w:tbl>
    <w:p w14:paraId="627830C3" w14:textId="37F38142" w:rsidR="006E4F9C" w:rsidRPr="00F75361" w:rsidRDefault="006E4F9C" w:rsidP="00F94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28158" w14:textId="2F247F7D" w:rsidR="006E4F9C" w:rsidRPr="00F75361" w:rsidRDefault="006E4F9C" w:rsidP="00F94B95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V súvislosti s energetickou krízou sa v roku 2023 bude osobitne rozpočtovať rezerva na kompenzačné opatrenia súvisiace s rastom cien energií v objeme 3,4 mld. eur.  V tejto sume majú byť zahrnuté aj kompenzácie pre školstvo. </w:t>
      </w:r>
    </w:p>
    <w:p w14:paraId="263BA286" w14:textId="65100755" w:rsidR="00F94B95" w:rsidRPr="00F75361" w:rsidRDefault="00F94B95" w:rsidP="00F94B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361">
        <w:rPr>
          <w:rFonts w:ascii="Times New Roman" w:hAnsi="Times New Roman" w:cs="Times New Roman"/>
          <w:b/>
          <w:bCs/>
          <w:sz w:val="24"/>
          <w:szCs w:val="24"/>
        </w:rPr>
        <w:t xml:space="preserve">Vzdelávanie </w:t>
      </w:r>
    </w:p>
    <w:p w14:paraId="4C495F2B" w14:textId="08CA483D" w:rsidR="00F94B95" w:rsidRPr="00F75361" w:rsidRDefault="00F94B95" w:rsidP="00F94B95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V roku 2023 porastú výdavky na vzdelávanie, vedu, výskum o cca 500 mil. eur. Z toho je najväčšia položka určená na zvýšenie platov pedagogických zamestnancov, odborných  zamestnancov, učiteľov vysokých škôl, vedcov a nepedagogických zamestnancov v prenesenom výkone  392,2 mil. eur. Finančné prostriedky z Plánu obnovy v sume 71,2 mil. eur majú slúžiť na kapitálové investície vysokých škôl, ako napríklad modernizáciu budov a internátov. </w:t>
      </w:r>
    </w:p>
    <w:p w14:paraId="549723B3" w14:textId="7C36075B" w:rsidR="00F94B95" w:rsidRPr="00F75361" w:rsidRDefault="00F94B95" w:rsidP="00F94B95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Na úrovni regionálneho školstva rozpočet ráta so zvýšením normatívnych finančných prostriedkov o 40 mil. eur (nárast počtu žiakov a zvýšenie cien energií). Súčasťou zvýšenia výdavkov je aj zvýšenie príspevku pre subjekty zapojené do systému duálneho vzdelávania o 2,21 mil. eur. </w:t>
      </w:r>
    </w:p>
    <w:p w14:paraId="3CA913B0" w14:textId="154C5521" w:rsidR="00BE4321" w:rsidRPr="00F75361" w:rsidRDefault="00F94B95" w:rsidP="00F94B95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lastRenderedPageBreak/>
        <w:t xml:space="preserve">Na úrovni vysokých škôl dôjde k zníženiu osobných výdavkov o sumu 27,2 mil. eur (zníženie počtu zamestnancov o cca 2000), suma v tejto výške sa však alokuje na výkonnostné odmeňovanie. </w:t>
      </w:r>
      <w:r w:rsidR="00BE4321" w:rsidRPr="00F75361">
        <w:rPr>
          <w:rFonts w:ascii="Times New Roman" w:hAnsi="Times New Roman" w:cs="Times New Roman"/>
          <w:sz w:val="24"/>
          <w:szCs w:val="24"/>
        </w:rPr>
        <w:t xml:space="preserve">Z toho mzdy predstavujú 20 mil. eur. </w:t>
      </w:r>
      <w:r w:rsidRPr="00F75361">
        <w:rPr>
          <w:rFonts w:ascii="Times New Roman" w:hAnsi="Times New Roman" w:cs="Times New Roman"/>
          <w:sz w:val="24"/>
          <w:szCs w:val="24"/>
        </w:rPr>
        <w:t xml:space="preserve">Prostriedky na oblasť vysokého školstva na rok 2023 predstavujú sumu 1,08 mld. eur, čo je nárast oproti </w:t>
      </w:r>
      <w:r w:rsidR="00A23B3A">
        <w:rPr>
          <w:rFonts w:ascii="Times New Roman" w:hAnsi="Times New Roman" w:cs="Times New Roman"/>
          <w:sz w:val="24"/>
          <w:szCs w:val="24"/>
        </w:rPr>
        <w:t xml:space="preserve">roku </w:t>
      </w:r>
      <w:r w:rsidRPr="00F75361">
        <w:rPr>
          <w:rFonts w:ascii="Times New Roman" w:hAnsi="Times New Roman" w:cs="Times New Roman"/>
          <w:sz w:val="24"/>
          <w:szCs w:val="24"/>
        </w:rPr>
        <w:t xml:space="preserve">2022 (925 mil. eur). </w:t>
      </w:r>
    </w:p>
    <w:p w14:paraId="5EE90D16" w14:textId="3558F527" w:rsidR="00F94B95" w:rsidRPr="00F75361" w:rsidRDefault="00F94B95" w:rsidP="00F94B95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>Oblasť vedy a techniky zaznamenáva mierne zvýšenie - v roku 2023 má disponovať so zdrojmi vo výške 563 mil. eur (oproti 478 mil. eur v</w:t>
      </w:r>
      <w:r w:rsidR="00A23B3A">
        <w:rPr>
          <w:rFonts w:ascii="Times New Roman" w:hAnsi="Times New Roman" w:cs="Times New Roman"/>
          <w:sz w:val="24"/>
          <w:szCs w:val="24"/>
        </w:rPr>
        <w:t xml:space="preserve"> roku </w:t>
      </w:r>
      <w:r w:rsidRPr="00F75361">
        <w:rPr>
          <w:rFonts w:ascii="Times New Roman" w:hAnsi="Times New Roman" w:cs="Times New Roman"/>
          <w:sz w:val="24"/>
          <w:szCs w:val="24"/>
        </w:rPr>
        <w:t xml:space="preserve">2022), čo zrejme neprinesie zásadné zlepšenie pre SR, kde </w:t>
      </w:r>
      <w:r w:rsidR="00BE4321" w:rsidRPr="00F75361">
        <w:rPr>
          <w:rFonts w:ascii="Times New Roman" w:hAnsi="Times New Roman" w:cs="Times New Roman"/>
          <w:sz w:val="24"/>
          <w:szCs w:val="24"/>
        </w:rPr>
        <w:t>k</w:t>
      </w:r>
      <w:r w:rsidRPr="00F75361">
        <w:rPr>
          <w:rFonts w:ascii="Times New Roman" w:hAnsi="Times New Roman" w:cs="Times New Roman"/>
          <w:sz w:val="24"/>
          <w:szCs w:val="24"/>
        </w:rPr>
        <w:t>valita vedy a výskumu, meraná indexom „</w:t>
      </w:r>
      <w:proofErr w:type="spellStart"/>
      <w:r w:rsidRPr="00F7536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7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61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F75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61">
        <w:rPr>
          <w:rFonts w:ascii="Times New Roman" w:hAnsi="Times New Roman" w:cs="Times New Roman"/>
          <w:sz w:val="24"/>
          <w:szCs w:val="24"/>
        </w:rPr>
        <w:t>scoreboard</w:t>
      </w:r>
      <w:proofErr w:type="spellEnd"/>
      <w:r w:rsidRPr="00F75361">
        <w:rPr>
          <w:rFonts w:ascii="Times New Roman" w:hAnsi="Times New Roman" w:cs="Times New Roman"/>
          <w:sz w:val="24"/>
          <w:szCs w:val="24"/>
        </w:rPr>
        <w:t>“, je približne na 71 % priemerného výkonu EÚ.</w:t>
      </w:r>
    </w:p>
    <w:p w14:paraId="353AD6A1" w14:textId="138247CF" w:rsidR="00BE4321" w:rsidRPr="008F69F3" w:rsidRDefault="00BE4321" w:rsidP="00BE4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9F3">
        <w:rPr>
          <w:rFonts w:ascii="Times New Roman" w:hAnsi="Times New Roman" w:cs="Times New Roman"/>
          <w:b/>
          <w:bCs/>
          <w:sz w:val="24"/>
          <w:szCs w:val="24"/>
        </w:rPr>
        <w:t>Regionálne školstvo</w:t>
      </w:r>
    </w:p>
    <w:p w14:paraId="5A4FDAA0" w14:textId="77777777" w:rsidR="00BE4321" w:rsidRPr="00F75361" w:rsidRDefault="00BE4321" w:rsidP="00BE432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5361">
        <w:rPr>
          <w:rFonts w:ascii="Times New Roman" w:hAnsi="Times New Roman" w:cs="Times New Roman"/>
          <w:color w:val="000000"/>
          <w:sz w:val="24"/>
          <w:szCs w:val="24"/>
        </w:rPr>
        <w:t>Rozdelenie objemu finančných prostriedkov určených na platy pedagogických, odborných a nepedagogických zamestnancov regionálneho školstva je v kompetencii zriaďovateľov.</w:t>
      </w: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992"/>
        <w:gridCol w:w="1418"/>
        <w:gridCol w:w="1134"/>
        <w:gridCol w:w="1275"/>
        <w:gridCol w:w="160"/>
      </w:tblGrid>
      <w:tr w:rsidR="00BE4321" w:rsidRPr="00F75361" w14:paraId="24310B2F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EDF5" w14:textId="77777777" w:rsidR="00BE4321" w:rsidRPr="00F75361" w:rsidRDefault="00BE4321" w:rsidP="00BE43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Regionálne školstvo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C425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87E5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2022 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4ED6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2022 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17ED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2023 N</w:t>
            </w:r>
          </w:p>
        </w:tc>
      </w:tr>
      <w:tr w:rsidR="00BE4321" w:rsidRPr="00F75361" w14:paraId="2E2CB800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6C7F8" w14:textId="77777777" w:rsidR="00BE4321" w:rsidRPr="00F75361" w:rsidRDefault="00BE4321" w:rsidP="00BE4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Počet zamestnancov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29EB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osoby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EF863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83 731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BA389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85 435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BA1B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84 218</w:t>
            </w:r>
          </w:p>
        </w:tc>
      </w:tr>
      <w:tr w:rsidR="00BE4321" w:rsidRPr="00F75361" w14:paraId="2B4B8F24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BA09C" w14:textId="77777777" w:rsidR="00BE4321" w:rsidRPr="00F75361" w:rsidRDefault="00BE4321" w:rsidP="00BE4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Osobné výdavky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D3485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4C6D5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 1764 155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C9E2A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1 889 250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C815B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2 106 987</w:t>
            </w:r>
          </w:p>
        </w:tc>
      </w:tr>
      <w:tr w:rsidR="00BE4321" w:rsidRPr="00F75361" w14:paraId="684F96D0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F1D51" w14:textId="77777777" w:rsidR="00BE4321" w:rsidRPr="00F75361" w:rsidRDefault="00BE4321" w:rsidP="00BE4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z toho: mzdové výdavky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4599C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E7D74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1 305 004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FA56F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1 397 702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A4215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1 558 630</w:t>
            </w:r>
          </w:p>
        </w:tc>
      </w:tr>
      <w:tr w:rsidR="00BE4321" w:rsidRPr="00F75361" w14:paraId="5D9236BE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95AF" w14:textId="77777777" w:rsidR="00BE4321" w:rsidRPr="00F75361" w:rsidRDefault="00BE4321" w:rsidP="00BE4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Priemerný mzdový výdavok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03889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5B112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1 298,91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6B617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1 363,32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44CD2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1 542,26</w:t>
            </w:r>
          </w:p>
        </w:tc>
      </w:tr>
      <w:tr w:rsidR="00BE4321" w:rsidRPr="00F75361" w14:paraId="13BF9F54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4AF3DC" w14:textId="77777777" w:rsidR="00BE4321" w:rsidRPr="00F75361" w:rsidRDefault="00BE4321" w:rsidP="00BE4321">
            <w:pPr>
              <w:ind w:firstLineChars="200" w:firstLine="48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z toho</w:t>
            </w:r>
            <w:r w:rsidRPr="00F75361"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7A1AC9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625F06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E42007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AD84E3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BE4321" w:rsidRPr="00F75361" w14:paraId="596A4ABE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501B9A" w14:textId="69F8F831" w:rsidR="00BE4321" w:rsidRPr="00F75361" w:rsidRDefault="00BE4321" w:rsidP="00BE43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Pedagogickí a odborní zamestnanci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C4BA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EEFC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2022 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041A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2022 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2906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2023 N</w:t>
            </w:r>
          </w:p>
        </w:tc>
      </w:tr>
      <w:tr w:rsidR="00BE4321" w:rsidRPr="00F75361" w14:paraId="07621346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23D67" w14:textId="77777777" w:rsidR="00BE4321" w:rsidRPr="00F75361" w:rsidRDefault="00BE4321" w:rsidP="00BE4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Počet zamestnancov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A8536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osoby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55EEE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64 141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A31B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66 235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92A10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64 628</w:t>
            </w:r>
          </w:p>
        </w:tc>
      </w:tr>
      <w:tr w:rsidR="00BE4321" w:rsidRPr="00F75361" w14:paraId="34E38E21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A2AF0" w14:textId="77777777" w:rsidR="00BE4321" w:rsidRPr="00F75361" w:rsidRDefault="00BE4321" w:rsidP="00BE4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Osobné výdavky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101B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AA43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1 508 003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C86A2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1 620 480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5DAD4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1 817 174</w:t>
            </w:r>
          </w:p>
        </w:tc>
      </w:tr>
      <w:tr w:rsidR="00BE4321" w:rsidRPr="00F75361" w14:paraId="1086ADC4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6175" w14:textId="77777777" w:rsidR="00BE4321" w:rsidRPr="00F75361" w:rsidRDefault="00BE4321" w:rsidP="00BE4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z toho: mzdové výdavky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7456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6CEE0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1 115 499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B33BB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1 198 850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C43EF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1 344 222</w:t>
            </w:r>
          </w:p>
        </w:tc>
      </w:tr>
      <w:tr w:rsidR="00BE4321" w:rsidRPr="00F75361" w14:paraId="04892005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FAD1" w14:textId="77777777" w:rsidR="00BE4321" w:rsidRPr="00F75361" w:rsidRDefault="00BE4321" w:rsidP="00BE4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Priemerný mzdový výdavok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6E9C3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9C68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1 449,28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70EF5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1 508,33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5AA4A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1 733,28</w:t>
            </w:r>
          </w:p>
        </w:tc>
      </w:tr>
      <w:tr w:rsidR="00BE4321" w:rsidRPr="00F75361" w14:paraId="3DCDB77F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4F0B1E" w14:textId="77777777" w:rsidR="00BE4321" w:rsidRPr="00F75361" w:rsidRDefault="00BE4321" w:rsidP="00BE43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Nepedagogickí zamestnanci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3712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77B9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2022 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A0F1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2022 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01E4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2023 N</w:t>
            </w:r>
          </w:p>
        </w:tc>
      </w:tr>
      <w:tr w:rsidR="00BE4321" w:rsidRPr="00F75361" w14:paraId="59BE05AB" w14:textId="77777777" w:rsidTr="00F75361">
        <w:trPr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56286" w14:textId="77777777" w:rsidR="00BE4321" w:rsidRPr="00F75361" w:rsidRDefault="00BE4321" w:rsidP="00BE4321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zamestnancov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6AED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osoby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FBB12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88B7D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0E1B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19 590</w:t>
            </w:r>
          </w:p>
        </w:tc>
        <w:tc>
          <w:tcPr>
            <w:tcW w:w="160" w:type="dxa"/>
            <w:vAlign w:val="center"/>
          </w:tcPr>
          <w:p w14:paraId="33A19AD7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BE4321" w:rsidRPr="00F75361" w14:paraId="1B24FF84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C499C" w14:textId="77777777" w:rsidR="00BE4321" w:rsidRPr="00F75361" w:rsidRDefault="00BE4321" w:rsidP="00BE4321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Osobné výdavky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0D35E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993FD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256 152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F3EC2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268 770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7570B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289 813</w:t>
            </w:r>
          </w:p>
        </w:tc>
      </w:tr>
      <w:tr w:rsidR="00BE4321" w:rsidRPr="00F75361" w14:paraId="2C9FCA99" w14:textId="77777777" w:rsidTr="00F75361">
        <w:trPr>
          <w:gridAfter w:val="1"/>
          <w:wAfter w:w="160" w:type="dxa"/>
          <w:trHeight w:hRule="exact" w:val="567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B240C" w14:textId="77777777" w:rsidR="00BE4321" w:rsidRPr="00F75361" w:rsidRDefault="00BE4321" w:rsidP="00BE4321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 toho: mzdové výdavky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2C9EF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9AD1E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189 505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322D5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198 852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BEB11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214 408</w:t>
            </w:r>
          </w:p>
        </w:tc>
      </w:tr>
      <w:tr w:rsidR="00BE4321" w:rsidRPr="00F75361" w14:paraId="0885A0A0" w14:textId="77777777" w:rsidTr="00F75361">
        <w:trPr>
          <w:trHeight w:hRule="exact" w:val="454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C14F8" w14:textId="77777777" w:rsidR="00BE4321" w:rsidRPr="00F75361" w:rsidRDefault="00BE4321" w:rsidP="00BE4321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2935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2E286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806,13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8E35B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863 07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6E822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912,07</w:t>
            </w:r>
          </w:p>
        </w:tc>
        <w:tc>
          <w:tcPr>
            <w:tcW w:w="160" w:type="dxa"/>
            <w:vAlign w:val="center"/>
          </w:tcPr>
          <w:p w14:paraId="753EE289" w14:textId="77777777" w:rsidR="00BE4321" w:rsidRPr="00F75361" w:rsidRDefault="00BE4321" w:rsidP="00C95E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</w:p>
        </w:tc>
      </w:tr>
    </w:tbl>
    <w:p w14:paraId="61C13CD8" w14:textId="77777777" w:rsidR="008D25C5" w:rsidRDefault="008D25C5" w:rsidP="00F753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61084" w14:textId="77777777" w:rsidR="00D0732A" w:rsidRDefault="00D0732A" w:rsidP="008D25C5">
      <w:pPr>
        <w:spacing w:before="120"/>
        <w:jc w:val="both"/>
        <w:rPr>
          <w:sz w:val="24"/>
          <w:szCs w:val="24"/>
        </w:rPr>
      </w:pPr>
    </w:p>
    <w:p w14:paraId="1E46BAA3" w14:textId="2EDDAF2D" w:rsidR="008D25C5" w:rsidRDefault="008D25C5" w:rsidP="008D25C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návrhu rozpočtu  - daň z príjmu fyzických osôb do obcí a VÚC: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25C5" w14:paraId="53FF5031" w14:textId="77777777" w:rsidTr="008D25C5">
        <w:trPr>
          <w:trHeight w:hRule="exact" w:val="567"/>
        </w:trPr>
        <w:tc>
          <w:tcPr>
            <w:tcW w:w="3020" w:type="dxa"/>
          </w:tcPr>
          <w:p w14:paraId="109647FE" w14:textId="172D4C46" w:rsidR="008D25C5" w:rsidRDefault="008D25C5" w:rsidP="008D25C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tis. €</w:t>
            </w:r>
          </w:p>
        </w:tc>
        <w:tc>
          <w:tcPr>
            <w:tcW w:w="3021" w:type="dxa"/>
          </w:tcPr>
          <w:p w14:paraId="70549EDB" w14:textId="4844052C" w:rsidR="008D25C5" w:rsidRDefault="008D25C5" w:rsidP="008D25C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N</w:t>
            </w:r>
          </w:p>
        </w:tc>
        <w:tc>
          <w:tcPr>
            <w:tcW w:w="3021" w:type="dxa"/>
          </w:tcPr>
          <w:p w14:paraId="795F319D" w14:textId="607A9330" w:rsidR="008D25C5" w:rsidRDefault="008D25C5" w:rsidP="008D25C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N</w:t>
            </w:r>
          </w:p>
        </w:tc>
      </w:tr>
      <w:tr w:rsidR="008D25C5" w14:paraId="6A2B81C6" w14:textId="77777777" w:rsidTr="008D25C5">
        <w:trPr>
          <w:trHeight w:hRule="exact" w:val="567"/>
        </w:trPr>
        <w:tc>
          <w:tcPr>
            <w:tcW w:w="3020" w:type="dxa"/>
          </w:tcPr>
          <w:p w14:paraId="04B440E5" w14:textId="055E614B" w:rsidR="008D25C5" w:rsidRDefault="008D25C5" w:rsidP="008D25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 obce</w:t>
            </w:r>
          </w:p>
        </w:tc>
        <w:tc>
          <w:tcPr>
            <w:tcW w:w="3021" w:type="dxa"/>
          </w:tcPr>
          <w:p w14:paraId="122A438C" w14:textId="762853EA" w:rsidR="008D25C5" w:rsidRDefault="008D25C5" w:rsidP="008D25C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2 533 175</w:t>
            </w:r>
          </w:p>
        </w:tc>
        <w:tc>
          <w:tcPr>
            <w:tcW w:w="3021" w:type="dxa"/>
          </w:tcPr>
          <w:p w14:paraId="7A6E07BB" w14:textId="4BD907C3" w:rsidR="008D25C5" w:rsidRDefault="008D25C5" w:rsidP="008D25C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2 635 051</w:t>
            </w:r>
          </w:p>
        </w:tc>
      </w:tr>
      <w:tr w:rsidR="008D25C5" w14:paraId="0AF70B09" w14:textId="77777777" w:rsidTr="008D25C5">
        <w:trPr>
          <w:trHeight w:hRule="exact" w:val="567"/>
        </w:trPr>
        <w:tc>
          <w:tcPr>
            <w:tcW w:w="3020" w:type="dxa"/>
          </w:tcPr>
          <w:p w14:paraId="221E780D" w14:textId="4462C1AE" w:rsidR="008D25C5" w:rsidRDefault="008D25C5" w:rsidP="008D25C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 VÚC</w:t>
            </w:r>
          </w:p>
        </w:tc>
        <w:tc>
          <w:tcPr>
            <w:tcW w:w="3021" w:type="dxa"/>
          </w:tcPr>
          <w:p w14:paraId="05F04C83" w14:textId="5A3A1EA0" w:rsidR="008D25C5" w:rsidRDefault="008D25C5" w:rsidP="008D25C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1 029 307</w:t>
            </w:r>
          </w:p>
        </w:tc>
        <w:tc>
          <w:tcPr>
            <w:tcW w:w="3021" w:type="dxa"/>
          </w:tcPr>
          <w:p w14:paraId="6EB4037F" w14:textId="6389BD8A" w:rsidR="008D25C5" w:rsidRDefault="008D25C5" w:rsidP="008D25C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1 129 307</w:t>
            </w:r>
          </w:p>
        </w:tc>
      </w:tr>
    </w:tbl>
    <w:p w14:paraId="13217755" w14:textId="32EA36A6" w:rsidR="008D25C5" w:rsidRPr="008D25C5" w:rsidRDefault="008D25C5" w:rsidP="008D25C5">
      <w:pPr>
        <w:spacing w:after="0"/>
        <w:jc w:val="both"/>
        <w:rPr>
          <w:i/>
          <w:iCs/>
        </w:rPr>
      </w:pPr>
      <w:r w:rsidRPr="008D25C5">
        <w:rPr>
          <w:i/>
          <w:iCs/>
          <w:sz w:val="20"/>
          <w:szCs w:val="20"/>
        </w:rPr>
        <w:t xml:space="preserve">Originálne kompetencie: </w:t>
      </w:r>
    </w:p>
    <w:p w14:paraId="3CFD6DF2" w14:textId="4688BE81" w:rsidR="008D25C5" w:rsidRPr="008D25C5" w:rsidRDefault="008D25C5" w:rsidP="008D25C5">
      <w:pPr>
        <w:pStyle w:val="Odsekzoznamu"/>
        <w:numPr>
          <w:ilvl w:val="0"/>
          <w:numId w:val="1"/>
        </w:numPr>
        <w:spacing w:after="0"/>
        <w:jc w:val="both"/>
        <w:rPr>
          <w:i/>
          <w:iCs/>
          <w:sz w:val="20"/>
          <w:szCs w:val="20"/>
        </w:rPr>
      </w:pPr>
      <w:r w:rsidRPr="008D25C5">
        <w:rPr>
          <w:i/>
          <w:iCs/>
          <w:sz w:val="20"/>
          <w:szCs w:val="20"/>
        </w:rPr>
        <w:t xml:space="preserve">obce rozpočtujú výdavky  na financovanie vzdelávania </w:t>
      </w:r>
      <w:r w:rsidR="002814D2">
        <w:rPr>
          <w:i/>
          <w:iCs/>
          <w:sz w:val="20"/>
          <w:szCs w:val="20"/>
        </w:rPr>
        <w:t xml:space="preserve">pre </w:t>
      </w:r>
      <w:r w:rsidRPr="008D25C5">
        <w:rPr>
          <w:i/>
          <w:iCs/>
          <w:sz w:val="20"/>
          <w:szCs w:val="20"/>
        </w:rPr>
        <w:t>MŠ,ZUŠ,ŠKD, ŠJ, CVČ ...</w:t>
      </w:r>
    </w:p>
    <w:p w14:paraId="0D29CC25" w14:textId="577FC565" w:rsidR="008D25C5" w:rsidRPr="008D25C5" w:rsidRDefault="008D25C5" w:rsidP="008D25C5">
      <w:pPr>
        <w:pStyle w:val="Odsekzoznamu"/>
        <w:numPr>
          <w:ilvl w:val="0"/>
          <w:numId w:val="1"/>
        </w:numPr>
        <w:spacing w:before="120"/>
        <w:jc w:val="both"/>
        <w:rPr>
          <w:i/>
          <w:iCs/>
          <w:sz w:val="20"/>
          <w:szCs w:val="20"/>
        </w:rPr>
      </w:pPr>
      <w:r w:rsidRPr="008D25C5">
        <w:rPr>
          <w:i/>
          <w:iCs/>
          <w:sz w:val="20"/>
          <w:szCs w:val="20"/>
        </w:rPr>
        <w:t>VÚ</w:t>
      </w:r>
      <w:r>
        <w:rPr>
          <w:i/>
          <w:iCs/>
          <w:sz w:val="20"/>
          <w:szCs w:val="20"/>
        </w:rPr>
        <w:t>C</w:t>
      </w:r>
      <w:r w:rsidRPr="008D25C5">
        <w:rPr>
          <w:i/>
          <w:iCs/>
          <w:sz w:val="20"/>
          <w:szCs w:val="20"/>
        </w:rPr>
        <w:t xml:space="preserve"> plnia  zriaďovateľskú funkciu k financovaniu stredných škôl ako aj rozpočtujú výdavky na financovanie chodu školských zariadení a stredoškolských internátov.</w:t>
      </w:r>
    </w:p>
    <w:p w14:paraId="3447A39C" w14:textId="2CAC02F4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Pre pedagogických, odborných a nepedagogických zamestnancov regionálneho školstva financovaného z kapitoly Ministerstvo školstva, vedy, výskumu a športu SR sa na </w:t>
      </w:r>
      <w:r w:rsidRPr="00F75361">
        <w:rPr>
          <w:rFonts w:ascii="Times New Roman" w:hAnsi="Times New Roman" w:cs="Times New Roman"/>
          <w:b/>
          <w:bCs/>
          <w:sz w:val="24"/>
          <w:szCs w:val="24"/>
        </w:rPr>
        <w:t>rok 2023 navrhujú</w:t>
      </w:r>
      <w:r w:rsidRPr="00F75361">
        <w:rPr>
          <w:rFonts w:ascii="Times New Roman" w:hAnsi="Times New Roman" w:cs="Times New Roman"/>
          <w:sz w:val="24"/>
          <w:szCs w:val="24"/>
        </w:rPr>
        <w:t xml:space="preserve"> </w:t>
      </w:r>
      <w:r w:rsidRPr="00F75361">
        <w:rPr>
          <w:rFonts w:ascii="Times New Roman" w:hAnsi="Times New Roman" w:cs="Times New Roman"/>
          <w:b/>
          <w:bCs/>
          <w:sz w:val="24"/>
          <w:szCs w:val="24"/>
        </w:rPr>
        <w:t>osobné výdavky v sume 2,1 mld. eur</w:t>
      </w:r>
      <w:r w:rsidRPr="00F75361">
        <w:rPr>
          <w:rFonts w:ascii="Times New Roman" w:hAnsi="Times New Roman" w:cs="Times New Roman"/>
          <w:sz w:val="24"/>
          <w:szCs w:val="24"/>
        </w:rPr>
        <w:t xml:space="preserve">, z toho </w:t>
      </w:r>
      <w:r w:rsidRPr="00F75361">
        <w:rPr>
          <w:rFonts w:ascii="Times New Roman" w:hAnsi="Times New Roman" w:cs="Times New Roman"/>
          <w:b/>
          <w:bCs/>
          <w:sz w:val="24"/>
          <w:szCs w:val="24"/>
        </w:rPr>
        <w:t>mzdy v sume 1,56 mld. eur pre 84 218 zamestnancov</w:t>
      </w:r>
      <w:r w:rsidRPr="00F75361">
        <w:rPr>
          <w:rFonts w:ascii="Times New Roman" w:hAnsi="Times New Roman" w:cs="Times New Roman"/>
          <w:sz w:val="24"/>
          <w:szCs w:val="24"/>
        </w:rPr>
        <w:t xml:space="preserve">. Medziročný nárast osobných výdavkov zohľadňuje valorizáciu platov a zabezpečenie finančných prostriedkov na valorizáciu platov zamestnancov vyplývajúcu z kolektívneho vyjednávania od 1. januára 2023 a od 1. septembra 2023 v celkovej sume osobných </w:t>
      </w:r>
      <w:r w:rsidRPr="00F75361">
        <w:rPr>
          <w:rFonts w:ascii="Times New Roman" w:hAnsi="Times New Roman" w:cs="Times New Roman"/>
          <w:b/>
          <w:bCs/>
          <w:sz w:val="24"/>
          <w:szCs w:val="24"/>
        </w:rPr>
        <w:t>výdavkov 310 mil. eur</w:t>
      </w:r>
      <w:r w:rsidRPr="00F75361">
        <w:rPr>
          <w:rFonts w:ascii="Times New Roman" w:hAnsi="Times New Roman" w:cs="Times New Roman"/>
          <w:sz w:val="24"/>
          <w:szCs w:val="24"/>
        </w:rPr>
        <w:t xml:space="preserve">, z toho mzdy v sume 229 mil. eur. V návrhu rozpočtu je zapracované aj dofinancovanie normatívnych výdavkov z roku 2022 v </w:t>
      </w:r>
      <w:r w:rsidRPr="00F75361">
        <w:rPr>
          <w:rFonts w:ascii="Times New Roman" w:hAnsi="Times New Roman" w:cs="Times New Roman"/>
          <w:b/>
          <w:bCs/>
          <w:sz w:val="24"/>
          <w:szCs w:val="24"/>
        </w:rPr>
        <w:t>sume 34,2 mil.</w:t>
      </w:r>
      <w:r w:rsidRPr="00F75361">
        <w:rPr>
          <w:rFonts w:ascii="Times New Roman" w:hAnsi="Times New Roman" w:cs="Times New Roman"/>
          <w:sz w:val="24"/>
          <w:szCs w:val="24"/>
        </w:rPr>
        <w:t xml:space="preserve"> eur, z toho mzdy </w:t>
      </w:r>
      <w:r w:rsidRPr="00F75361">
        <w:rPr>
          <w:rFonts w:ascii="Times New Roman" w:hAnsi="Times New Roman" w:cs="Times New Roman"/>
          <w:b/>
          <w:bCs/>
          <w:sz w:val="24"/>
          <w:szCs w:val="24"/>
        </w:rPr>
        <w:t>25,3 mil</w:t>
      </w:r>
      <w:r w:rsidRPr="00F75361">
        <w:rPr>
          <w:rFonts w:ascii="Times New Roman" w:hAnsi="Times New Roman" w:cs="Times New Roman"/>
          <w:sz w:val="24"/>
          <w:szCs w:val="24"/>
        </w:rPr>
        <w:t>. eur. Súčasne sa z dôvodu zvýšenia počtu žiakov zvyšuje aj počet pedagogických zamestnancov regionálneho školstva o 487 osôb. Počet zamestnancov na rok 2023 je vrátane 390 nepedagogických zamestnancov na pozíciách pomocný vychovávateľ a školská zdravotná sestra, ktorí boli prijatí na implementáciu Plánu obnovy a odolnosti SR.</w:t>
      </w:r>
    </w:p>
    <w:p w14:paraId="6510F989" w14:textId="77777777" w:rsidR="00900D60" w:rsidRPr="00F75361" w:rsidRDefault="00900D60" w:rsidP="00900D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418"/>
        <w:gridCol w:w="1277"/>
      </w:tblGrid>
      <w:tr w:rsidR="008F69F3" w:rsidRPr="00F75361" w14:paraId="095E5D4D" w14:textId="77777777" w:rsidTr="008F69F3">
        <w:trPr>
          <w:trHeight w:val="411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741E60B" w14:textId="77777777" w:rsidR="00F75361" w:rsidRPr="00F75361" w:rsidRDefault="00F75361" w:rsidP="0077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Regionálne školstvo MŠVVŠ SR a MV SR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2315B5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 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046ED5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 OS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41CD66A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 N</w:t>
            </w:r>
          </w:p>
        </w:tc>
      </w:tr>
      <w:tr w:rsidR="008F69F3" w:rsidRPr="00F75361" w14:paraId="6931721C" w14:textId="77777777" w:rsidTr="008F69F3">
        <w:trPr>
          <w:trHeight w:val="225"/>
        </w:trPr>
        <w:tc>
          <w:tcPr>
            <w:tcW w:w="4678" w:type="dxa"/>
            <w:shd w:val="clear" w:color="auto" w:fill="auto"/>
            <w:noWrap/>
            <w:vAlign w:val="bottom"/>
          </w:tcPr>
          <w:p w14:paraId="042E125E" w14:textId="77777777" w:rsidR="00F75361" w:rsidRPr="00F75361" w:rsidRDefault="00F75361" w:rsidP="0077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8346E2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2 551 625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4348C9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2 617 221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14C0417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2 773 671</w:t>
            </w:r>
          </w:p>
        </w:tc>
      </w:tr>
      <w:tr w:rsidR="008F69F3" w:rsidRPr="00F75361" w14:paraId="0CB7C3A4" w14:textId="77777777" w:rsidTr="008F69F3">
        <w:trPr>
          <w:trHeight w:val="360"/>
        </w:trPr>
        <w:tc>
          <w:tcPr>
            <w:tcW w:w="4678" w:type="dxa"/>
            <w:noWrap/>
            <w:vAlign w:val="bottom"/>
            <w:hideMark/>
          </w:tcPr>
          <w:p w14:paraId="28F3787C" w14:textId="396625FB" w:rsidR="00F75361" w:rsidRPr="00F75361" w:rsidRDefault="00F75361" w:rsidP="00F75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Normatívne výdavky </w:t>
            </w:r>
          </w:p>
        </w:tc>
        <w:tc>
          <w:tcPr>
            <w:tcW w:w="1559" w:type="dxa"/>
            <w:noWrap/>
            <w:vAlign w:val="bottom"/>
          </w:tcPr>
          <w:p w14:paraId="1F61FE7F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1 940 871</w:t>
            </w:r>
          </w:p>
        </w:tc>
        <w:tc>
          <w:tcPr>
            <w:tcW w:w="1418" w:type="dxa"/>
            <w:noWrap/>
            <w:vAlign w:val="bottom"/>
          </w:tcPr>
          <w:p w14:paraId="0D6D12A0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2 014 492</w:t>
            </w:r>
          </w:p>
        </w:tc>
        <w:tc>
          <w:tcPr>
            <w:tcW w:w="1277" w:type="dxa"/>
            <w:noWrap/>
            <w:vAlign w:val="bottom"/>
          </w:tcPr>
          <w:p w14:paraId="2C70385A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2 283 736</w:t>
            </w:r>
          </w:p>
        </w:tc>
      </w:tr>
      <w:tr w:rsidR="008F69F3" w:rsidRPr="00F75361" w14:paraId="7724D839" w14:textId="77777777" w:rsidTr="008F69F3">
        <w:trPr>
          <w:trHeight w:val="408"/>
        </w:trPr>
        <w:tc>
          <w:tcPr>
            <w:tcW w:w="4678" w:type="dxa"/>
            <w:noWrap/>
            <w:vAlign w:val="bottom"/>
            <w:hideMark/>
          </w:tcPr>
          <w:p w14:paraId="00D9131E" w14:textId="5D69D3C9" w:rsidR="00F75361" w:rsidRPr="00F75361" w:rsidRDefault="00F75361" w:rsidP="00F75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Nenormatívne výdavky </w:t>
            </w:r>
          </w:p>
        </w:tc>
        <w:tc>
          <w:tcPr>
            <w:tcW w:w="1559" w:type="dxa"/>
            <w:noWrap/>
            <w:vAlign w:val="bottom"/>
          </w:tcPr>
          <w:p w14:paraId="22BF23A4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136 245</w:t>
            </w:r>
          </w:p>
        </w:tc>
        <w:tc>
          <w:tcPr>
            <w:tcW w:w="1418" w:type="dxa"/>
            <w:noWrap/>
            <w:vAlign w:val="bottom"/>
          </w:tcPr>
          <w:p w14:paraId="19C717D5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144 748</w:t>
            </w:r>
          </w:p>
        </w:tc>
        <w:tc>
          <w:tcPr>
            <w:tcW w:w="1277" w:type="dxa"/>
            <w:noWrap/>
            <w:vAlign w:val="bottom"/>
          </w:tcPr>
          <w:p w14:paraId="05EA0FC6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141 018</w:t>
            </w:r>
          </w:p>
        </w:tc>
      </w:tr>
      <w:tr w:rsidR="008F69F3" w:rsidRPr="00F75361" w14:paraId="094D354F" w14:textId="77777777" w:rsidTr="008F69F3">
        <w:trPr>
          <w:trHeight w:val="272"/>
        </w:trPr>
        <w:tc>
          <w:tcPr>
            <w:tcW w:w="4678" w:type="dxa"/>
            <w:noWrap/>
            <w:vAlign w:val="bottom"/>
            <w:hideMark/>
          </w:tcPr>
          <w:p w14:paraId="5B87EADB" w14:textId="76BBBFBC" w:rsidR="00F75361" w:rsidRPr="00F75361" w:rsidRDefault="00F75361" w:rsidP="00F75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Ostatne nenormatívne výdavky </w:t>
            </w:r>
          </w:p>
        </w:tc>
        <w:tc>
          <w:tcPr>
            <w:tcW w:w="1559" w:type="dxa"/>
            <w:noWrap/>
            <w:vAlign w:val="bottom"/>
          </w:tcPr>
          <w:p w14:paraId="0849BFFC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12 980</w:t>
            </w:r>
          </w:p>
        </w:tc>
        <w:tc>
          <w:tcPr>
            <w:tcW w:w="1418" w:type="dxa"/>
            <w:noWrap/>
            <w:vAlign w:val="bottom"/>
          </w:tcPr>
          <w:p w14:paraId="1056D3A8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14 587</w:t>
            </w:r>
          </w:p>
        </w:tc>
        <w:tc>
          <w:tcPr>
            <w:tcW w:w="1277" w:type="dxa"/>
            <w:noWrap/>
            <w:vAlign w:val="bottom"/>
          </w:tcPr>
          <w:p w14:paraId="6E0294D7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12 989</w:t>
            </w:r>
          </w:p>
        </w:tc>
      </w:tr>
      <w:tr w:rsidR="008F69F3" w:rsidRPr="00F75361" w14:paraId="5C2DFCBE" w14:textId="77777777" w:rsidTr="008F69F3">
        <w:trPr>
          <w:trHeight w:val="275"/>
        </w:trPr>
        <w:tc>
          <w:tcPr>
            <w:tcW w:w="4678" w:type="dxa"/>
            <w:noWrap/>
            <w:vAlign w:val="bottom"/>
            <w:hideMark/>
          </w:tcPr>
          <w:p w14:paraId="7202DD61" w14:textId="75801653" w:rsidR="00F75361" w:rsidRPr="00F75361" w:rsidRDefault="00F75361" w:rsidP="00F75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Administratívne výdavky </w:t>
            </w:r>
          </w:p>
        </w:tc>
        <w:tc>
          <w:tcPr>
            <w:tcW w:w="1559" w:type="dxa"/>
            <w:noWrap/>
            <w:vAlign w:val="bottom"/>
          </w:tcPr>
          <w:p w14:paraId="72F3CF97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37 086</w:t>
            </w:r>
          </w:p>
        </w:tc>
        <w:tc>
          <w:tcPr>
            <w:tcW w:w="1418" w:type="dxa"/>
            <w:noWrap/>
            <w:vAlign w:val="bottom"/>
          </w:tcPr>
          <w:p w14:paraId="0E6FCFB7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38 884</w:t>
            </w:r>
          </w:p>
        </w:tc>
        <w:tc>
          <w:tcPr>
            <w:tcW w:w="1277" w:type="dxa"/>
            <w:noWrap/>
            <w:vAlign w:val="bottom"/>
          </w:tcPr>
          <w:p w14:paraId="72805CB2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42 223</w:t>
            </w:r>
          </w:p>
        </w:tc>
      </w:tr>
      <w:tr w:rsidR="008F69F3" w:rsidRPr="00F75361" w14:paraId="6021CD37" w14:textId="77777777" w:rsidTr="008F69F3">
        <w:trPr>
          <w:trHeight w:val="280"/>
        </w:trPr>
        <w:tc>
          <w:tcPr>
            <w:tcW w:w="4678" w:type="dxa"/>
            <w:noWrap/>
            <w:vAlign w:val="bottom"/>
          </w:tcPr>
          <w:p w14:paraId="6B45F9AF" w14:textId="77777777" w:rsidR="00F75361" w:rsidRPr="00F75361" w:rsidRDefault="00F75361" w:rsidP="00F75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Informačné technológie  v RŠ</w:t>
            </w:r>
          </w:p>
        </w:tc>
        <w:tc>
          <w:tcPr>
            <w:tcW w:w="1559" w:type="dxa"/>
            <w:noWrap/>
            <w:vAlign w:val="bottom"/>
          </w:tcPr>
          <w:p w14:paraId="7688A7A8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14 411</w:t>
            </w:r>
          </w:p>
        </w:tc>
        <w:tc>
          <w:tcPr>
            <w:tcW w:w="1418" w:type="dxa"/>
            <w:noWrap/>
            <w:vAlign w:val="bottom"/>
          </w:tcPr>
          <w:p w14:paraId="7394C63F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14 351</w:t>
            </w:r>
          </w:p>
        </w:tc>
        <w:tc>
          <w:tcPr>
            <w:tcW w:w="1277" w:type="dxa"/>
            <w:noWrap/>
            <w:vAlign w:val="bottom"/>
          </w:tcPr>
          <w:p w14:paraId="2D866695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14 448</w:t>
            </w:r>
          </w:p>
        </w:tc>
      </w:tr>
      <w:tr w:rsidR="008F69F3" w:rsidRPr="00F75361" w14:paraId="762E51C3" w14:textId="77777777" w:rsidTr="008F69F3">
        <w:trPr>
          <w:trHeight w:val="412"/>
        </w:trPr>
        <w:tc>
          <w:tcPr>
            <w:tcW w:w="4678" w:type="dxa"/>
            <w:noWrap/>
            <w:vAlign w:val="bottom"/>
            <w:hideMark/>
          </w:tcPr>
          <w:p w14:paraId="0BCAA295" w14:textId="0FDDDDD8" w:rsidR="00F75361" w:rsidRPr="00F75361" w:rsidRDefault="00F75361" w:rsidP="00F753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Výdavky na štipendi</w:t>
            </w:r>
            <w:r w:rsidR="00A23B3A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á</w:t>
            </w:r>
          </w:p>
        </w:tc>
        <w:tc>
          <w:tcPr>
            <w:tcW w:w="1559" w:type="dxa"/>
            <w:noWrap/>
            <w:vAlign w:val="bottom"/>
          </w:tcPr>
          <w:p w14:paraId="77CBDB4F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3 290</w:t>
            </w:r>
          </w:p>
        </w:tc>
        <w:tc>
          <w:tcPr>
            <w:tcW w:w="1418" w:type="dxa"/>
            <w:noWrap/>
            <w:vAlign w:val="bottom"/>
          </w:tcPr>
          <w:p w14:paraId="62A953D8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3 290</w:t>
            </w:r>
          </w:p>
        </w:tc>
        <w:tc>
          <w:tcPr>
            <w:tcW w:w="1277" w:type="dxa"/>
            <w:noWrap/>
            <w:vAlign w:val="bottom"/>
          </w:tcPr>
          <w:p w14:paraId="15025FE9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3 290</w:t>
            </w:r>
          </w:p>
        </w:tc>
      </w:tr>
      <w:tr w:rsidR="008F69F3" w:rsidRPr="00F75361" w14:paraId="3B43D416" w14:textId="77777777" w:rsidTr="008F69F3">
        <w:trPr>
          <w:trHeight w:val="276"/>
        </w:trPr>
        <w:tc>
          <w:tcPr>
            <w:tcW w:w="4678" w:type="dxa"/>
            <w:noWrap/>
            <w:vAlign w:val="bottom"/>
            <w:hideMark/>
          </w:tcPr>
          <w:p w14:paraId="6A03A225" w14:textId="21533D01" w:rsidR="00F75361" w:rsidRPr="00F75361" w:rsidRDefault="00F75361" w:rsidP="00F7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Ostatné kapitoly (MVSR) </w:t>
            </w:r>
          </w:p>
        </w:tc>
        <w:tc>
          <w:tcPr>
            <w:tcW w:w="1559" w:type="dxa"/>
            <w:noWrap/>
            <w:vAlign w:val="bottom"/>
          </w:tcPr>
          <w:p w14:paraId="28704C78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14:paraId="77326810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7" w:type="dxa"/>
            <w:noWrap/>
            <w:vAlign w:val="bottom"/>
          </w:tcPr>
          <w:p w14:paraId="63CF3129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8F69F3" w:rsidRPr="00F75361" w14:paraId="35F91CF4" w14:textId="77777777" w:rsidTr="008F69F3">
        <w:trPr>
          <w:trHeight w:val="266"/>
        </w:trPr>
        <w:tc>
          <w:tcPr>
            <w:tcW w:w="4678" w:type="dxa"/>
            <w:noWrap/>
            <w:vAlign w:val="bottom"/>
            <w:hideMark/>
          </w:tcPr>
          <w:p w14:paraId="342C21AA" w14:textId="77777777" w:rsidR="00F75361" w:rsidRPr="00F75361" w:rsidRDefault="00F75361" w:rsidP="00F75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 a spolufinancovanie zo ŠR</w:t>
            </w:r>
          </w:p>
        </w:tc>
        <w:tc>
          <w:tcPr>
            <w:tcW w:w="1559" w:type="dxa"/>
            <w:noWrap/>
            <w:vAlign w:val="bottom"/>
          </w:tcPr>
          <w:p w14:paraId="1C145026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63 361</w:t>
            </w:r>
          </w:p>
        </w:tc>
        <w:tc>
          <w:tcPr>
            <w:tcW w:w="1418" w:type="dxa"/>
            <w:noWrap/>
            <w:vAlign w:val="bottom"/>
          </w:tcPr>
          <w:p w14:paraId="52539007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43 448</w:t>
            </w:r>
          </w:p>
        </w:tc>
        <w:tc>
          <w:tcPr>
            <w:tcW w:w="1277" w:type="dxa"/>
            <w:noWrap/>
            <w:vAlign w:val="bottom"/>
          </w:tcPr>
          <w:p w14:paraId="6AC94EA8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8F69F3" w:rsidRPr="00F75361" w14:paraId="50FC60E5" w14:textId="77777777" w:rsidTr="008F69F3">
        <w:trPr>
          <w:trHeight w:val="282"/>
        </w:trPr>
        <w:tc>
          <w:tcPr>
            <w:tcW w:w="4678" w:type="dxa"/>
            <w:noWrap/>
            <w:vAlign w:val="bottom"/>
          </w:tcPr>
          <w:p w14:paraId="30D88A0B" w14:textId="77777777" w:rsidR="00F75361" w:rsidRPr="00F75361" w:rsidRDefault="00F75361" w:rsidP="00F75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Plán obnovy a odolnosti</w:t>
            </w:r>
          </w:p>
        </w:tc>
        <w:tc>
          <w:tcPr>
            <w:tcW w:w="1559" w:type="dxa"/>
            <w:noWrap/>
            <w:vAlign w:val="bottom"/>
          </w:tcPr>
          <w:p w14:paraId="7E3493D2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343 371</w:t>
            </w:r>
          </w:p>
        </w:tc>
        <w:tc>
          <w:tcPr>
            <w:tcW w:w="1418" w:type="dxa"/>
            <w:noWrap/>
            <w:vAlign w:val="bottom"/>
          </w:tcPr>
          <w:p w14:paraId="4217D899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343 422</w:t>
            </w:r>
          </w:p>
        </w:tc>
        <w:tc>
          <w:tcPr>
            <w:tcW w:w="1277" w:type="dxa"/>
            <w:noWrap/>
            <w:vAlign w:val="bottom"/>
          </w:tcPr>
          <w:p w14:paraId="27DD426C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275 967</w:t>
            </w:r>
          </w:p>
        </w:tc>
      </w:tr>
    </w:tbl>
    <w:p w14:paraId="056BDA24" w14:textId="534207E1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C5040" w14:textId="09FE4098" w:rsidR="00900D60" w:rsidRPr="00F75361" w:rsidRDefault="00F75361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D60" w:rsidRPr="00F75361">
        <w:rPr>
          <w:rFonts w:ascii="Times New Roman" w:hAnsi="Times New Roman" w:cs="Times New Roman"/>
          <w:sz w:val="24"/>
          <w:szCs w:val="24"/>
        </w:rPr>
        <w:t xml:space="preserve">Výdavky na </w:t>
      </w:r>
      <w:r w:rsidR="00900D60" w:rsidRPr="00F75361">
        <w:rPr>
          <w:rFonts w:ascii="Times New Roman" w:hAnsi="Times New Roman" w:cs="Times New Roman"/>
          <w:b/>
          <w:bCs/>
          <w:sz w:val="24"/>
          <w:szCs w:val="24"/>
        </w:rPr>
        <w:t>regionálne školstvo</w:t>
      </w:r>
      <w:r w:rsidR="00900D60" w:rsidRPr="00F75361">
        <w:rPr>
          <w:rFonts w:ascii="Times New Roman" w:hAnsi="Times New Roman" w:cs="Times New Roman"/>
          <w:sz w:val="24"/>
          <w:szCs w:val="24"/>
        </w:rPr>
        <w:t xml:space="preserve"> Ministerstva školstva, vedy, výskumu a športu SR na rok 2023 predstavujú sumu </w:t>
      </w:r>
      <w:r w:rsidR="00900D60" w:rsidRPr="00F75361">
        <w:rPr>
          <w:rFonts w:ascii="Times New Roman" w:hAnsi="Times New Roman" w:cs="Times New Roman"/>
          <w:b/>
          <w:bCs/>
          <w:sz w:val="24"/>
          <w:szCs w:val="24"/>
        </w:rPr>
        <w:t>2,77 mld. eur</w:t>
      </w:r>
      <w:r w:rsidR="00900D60" w:rsidRPr="00F75361">
        <w:rPr>
          <w:rFonts w:ascii="Times New Roman" w:hAnsi="Times New Roman" w:cs="Times New Roman"/>
          <w:sz w:val="24"/>
          <w:szCs w:val="24"/>
        </w:rPr>
        <w:t xml:space="preserve">. Medziročne rastú najmä z dôvodu zmien v odmeňovaní </w:t>
      </w:r>
      <w:r w:rsidR="00900D60" w:rsidRPr="00F75361">
        <w:rPr>
          <w:rFonts w:ascii="Times New Roman" w:hAnsi="Times New Roman" w:cs="Times New Roman"/>
          <w:sz w:val="24"/>
          <w:szCs w:val="24"/>
        </w:rPr>
        <w:lastRenderedPageBreak/>
        <w:t xml:space="preserve">pedagogických, odborných a nepedagogických zamestnancov o 310 mil. eur </w:t>
      </w:r>
      <w:r w:rsidR="00A23B3A">
        <w:rPr>
          <w:rFonts w:ascii="Times New Roman" w:hAnsi="Times New Roman" w:cs="Times New Roman"/>
          <w:sz w:val="24"/>
          <w:szCs w:val="24"/>
        </w:rPr>
        <w:t>a</w:t>
      </w:r>
      <w:r w:rsidR="00900D60" w:rsidRPr="00F75361">
        <w:rPr>
          <w:rFonts w:ascii="Times New Roman" w:hAnsi="Times New Roman" w:cs="Times New Roman"/>
          <w:sz w:val="24"/>
          <w:szCs w:val="24"/>
        </w:rPr>
        <w:t xml:space="preserve"> navýšenia normatívnych finančných prostriedkov o 40 mil. eur. Výdavky sú určené na pokrytie nárastu počtu žiakov a na zvýšenie cien energií. Výdavky z plánu obnovy vo výške 276 mil. eur sú určené na dostupnosť, rozvoj a kvalitu inkluzívneho vzdelávania na všetkých stupňoch. Tieto výdavky budú slúžiť na posilnenie inklúzie sociálne a zdravotne znevýhodnených detí vo vzdelávaní, prispejú na rozšírenie kapacít materských škôl a základných škôl, podporu digitalizácie či zavedenie právneho nároku na predprimárne vzdelávanie od troch rokov. </w:t>
      </w:r>
      <w:proofErr w:type="spellStart"/>
      <w:r w:rsidR="00900D60" w:rsidRPr="00F75361">
        <w:rPr>
          <w:rFonts w:ascii="Times New Roman" w:hAnsi="Times New Roman" w:cs="Times New Roman"/>
          <w:sz w:val="24"/>
          <w:szCs w:val="24"/>
        </w:rPr>
        <w:t>Kurikulárna</w:t>
      </w:r>
      <w:proofErr w:type="spellEnd"/>
      <w:r w:rsidR="00900D60" w:rsidRPr="00F75361">
        <w:rPr>
          <w:rFonts w:ascii="Times New Roman" w:hAnsi="Times New Roman" w:cs="Times New Roman"/>
          <w:sz w:val="24"/>
          <w:szCs w:val="24"/>
        </w:rPr>
        <w:t xml:space="preserve"> reforma základnej školy vytvorí nový obsah vzdelávania usporiadaný do viacročných cyklov, čo bude vyžadovať zabezpečenie nových učebníc a zmenu v príprave a profesionálnom rozvoji učiteľov.</w:t>
      </w:r>
    </w:p>
    <w:p w14:paraId="28BF716E" w14:textId="77777777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Pri financovaní regionálneho školstva sa uplatňuje financovanie prostredníctvom normatívu na žiaka, z ktorého je zabezpečené odmeňovanie pedagogických, odborných a nepedagogických zamestnancov a prevádzka všetkých typov škôl a školských zariadení. Ďalej vo výdavkoch sú zahrnuté nenormatívne výdavky, z ktorých sú kryté výdavky na asistentov učiteľa v sume 46,4 mil. eur, na bezplatnú výchovu materských školách v sume 32,3 mil. eur, vzdelávacie poukazy v sume 18,1 mil. eur, na financovanie škôl v prírode a lyžiarskych kurzov, dopravné žiakom, odchodné, mimoriadne výsledky žiakov, výdavky pre žiakov zo sociálne znevýhodneného prostredia, havárie, výdavky na nákup a distribúciu učebníc a učebných textov, súťaže žiakov a rozvojové projekty. </w:t>
      </w:r>
    </w:p>
    <w:p w14:paraId="536F5C0E" w14:textId="77777777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V limite výdavkov sú zabezpečené aj administratívne výdavky pre rozpočtové a príspevkové organizácie kapitoly na plnenie úloh, ktoré súvisia s regionálnym školstvom, výdavky na informačné technológie financované zo štátneho rozpočtu podporujúce zber a spracovanie dát za účelom zefektívnenia a transparentnosti financovania regionálneho školstva, internetové a dátové pripojenia škôl a výdavky na štipendiá pre študentov stredných škôl. </w:t>
      </w:r>
    </w:p>
    <w:p w14:paraId="73C674BC" w14:textId="087ED01B" w:rsid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>Financovanie regionálneho školstva je zabezpečované okrem výdavkov štátneho rozpočtu aj verejnými zdrojmi získanými z výnosu daňových príjmov fyzických osôb, z ktorých sú financované originálne kompetencie obcí a</w:t>
      </w:r>
      <w:r w:rsidR="00A23B3A">
        <w:rPr>
          <w:rFonts w:ascii="Times New Roman" w:hAnsi="Times New Roman" w:cs="Times New Roman"/>
          <w:sz w:val="24"/>
          <w:szCs w:val="24"/>
        </w:rPr>
        <w:t> </w:t>
      </w:r>
      <w:r w:rsidRPr="00F75361">
        <w:rPr>
          <w:rFonts w:ascii="Times New Roman" w:hAnsi="Times New Roman" w:cs="Times New Roman"/>
          <w:sz w:val="24"/>
          <w:szCs w:val="24"/>
        </w:rPr>
        <w:t>VÚC</w:t>
      </w:r>
      <w:r w:rsidR="00A23B3A">
        <w:rPr>
          <w:rFonts w:ascii="Times New Roman" w:hAnsi="Times New Roman" w:cs="Times New Roman"/>
          <w:sz w:val="24"/>
          <w:szCs w:val="24"/>
        </w:rPr>
        <w:t>.</w:t>
      </w:r>
    </w:p>
    <w:p w14:paraId="3878A267" w14:textId="7C376263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b/>
          <w:bCs/>
          <w:sz w:val="24"/>
          <w:szCs w:val="24"/>
        </w:rPr>
        <w:t xml:space="preserve">Osobné výdavky verejných vysokých škôl  </w:t>
      </w:r>
    </w:p>
    <w:p w14:paraId="6800B520" w14:textId="77777777" w:rsidR="00900D60" w:rsidRPr="00F75361" w:rsidRDefault="00900D60" w:rsidP="00F75361">
      <w:pPr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Osobné výdavky zamestnancov verejných vysokých škôl vychádzajú z transferu rozpísaného kapitolou Ministerstvo školstva, vedy, výskumu a športu SR na rok 2023 v sume </w:t>
      </w:r>
      <w:r w:rsidRPr="00F75361">
        <w:rPr>
          <w:rFonts w:ascii="Times New Roman" w:hAnsi="Times New Roman" w:cs="Times New Roman"/>
          <w:b/>
          <w:bCs/>
          <w:sz w:val="24"/>
          <w:szCs w:val="24"/>
        </w:rPr>
        <w:t>575 mil. eur</w:t>
      </w:r>
      <w:r w:rsidRPr="00F75361">
        <w:rPr>
          <w:rFonts w:ascii="Times New Roman" w:hAnsi="Times New Roman" w:cs="Times New Roman"/>
          <w:sz w:val="24"/>
          <w:szCs w:val="24"/>
        </w:rPr>
        <w:t>, v tom mzdy 424 mil. eur s priemerným mzdovým výdavkom 2 013,91 eura pre 17 526 zamestnancov eura.</w:t>
      </w:r>
    </w:p>
    <w:p w14:paraId="7E317DEA" w14:textId="77777777" w:rsidR="00900D60" w:rsidRPr="00F75361" w:rsidRDefault="00900D60" w:rsidP="00900D60">
      <w:pPr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1306"/>
        <w:gridCol w:w="1246"/>
        <w:gridCol w:w="1422"/>
      </w:tblGrid>
      <w:tr w:rsidR="00F75361" w:rsidRPr="00F75361" w14:paraId="57275314" w14:textId="77777777" w:rsidTr="00F75361">
        <w:trPr>
          <w:trHeight w:val="33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6C6C" w14:textId="77777777" w:rsidR="00F75361" w:rsidRPr="00F75361" w:rsidRDefault="00F75361" w:rsidP="0077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Verejné vysoké školy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5328" w14:textId="77777777" w:rsidR="00F75361" w:rsidRPr="00F75361" w:rsidRDefault="00F75361" w:rsidP="0077040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2342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 R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9363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 OS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12E8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 N</w:t>
            </w:r>
          </w:p>
        </w:tc>
      </w:tr>
      <w:tr w:rsidR="00F75361" w:rsidRPr="00F75361" w14:paraId="1A826E85" w14:textId="77777777" w:rsidTr="00F75361">
        <w:trPr>
          <w:trHeight w:val="506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B0FB1" w14:textId="77777777" w:rsidR="00F75361" w:rsidRPr="00F75361" w:rsidRDefault="00F75361" w:rsidP="0077040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zamestnancov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C295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osoby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69A55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18 861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7E4D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19 597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93E7E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17 526</w:t>
            </w:r>
          </w:p>
        </w:tc>
      </w:tr>
      <w:tr w:rsidR="00F75361" w:rsidRPr="00F75361" w14:paraId="1AC101BA" w14:textId="77777777" w:rsidTr="00F75361">
        <w:trPr>
          <w:trHeight w:val="428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38F" w14:textId="77777777" w:rsidR="00F75361" w:rsidRPr="00F75361" w:rsidRDefault="00F75361" w:rsidP="0077040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Osobné výdavky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641C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68B19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473 802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FA8D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484 080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2BD1A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574 899</w:t>
            </w:r>
          </w:p>
        </w:tc>
      </w:tr>
      <w:tr w:rsidR="00F75361" w:rsidRPr="00F75361" w14:paraId="341600FE" w14:textId="77777777" w:rsidTr="00F75361">
        <w:trPr>
          <w:trHeight w:val="33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BF729" w14:textId="77777777" w:rsidR="00F75361" w:rsidRPr="00F75361" w:rsidRDefault="00F75361" w:rsidP="00F75361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 toho: mzdové výdavky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E1BF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22DFC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353 691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AEEF8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384 842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E7271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423 549</w:t>
            </w:r>
          </w:p>
        </w:tc>
      </w:tr>
      <w:tr w:rsidR="00F75361" w:rsidRPr="00F75361" w14:paraId="2AD17C2B" w14:textId="77777777" w:rsidTr="00F75361">
        <w:trPr>
          <w:trHeight w:val="33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E2EB" w14:textId="77777777" w:rsidR="00F75361" w:rsidRPr="00F75361" w:rsidRDefault="00F75361" w:rsidP="0077040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38A0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eur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F1123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1562,71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162B4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1636,48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457F3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2 013,91</w:t>
            </w:r>
          </w:p>
        </w:tc>
      </w:tr>
    </w:tbl>
    <w:p w14:paraId="41954C12" w14:textId="77777777" w:rsidR="00900D60" w:rsidRPr="00F75361" w:rsidRDefault="00900D60" w:rsidP="00900D60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7942F33" w14:textId="77777777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lastRenderedPageBreak/>
        <w:t xml:space="preserve">Medziročný nárast osobných výdavkov v sume 101 mil. eur zohľadňuje premietnutie valorizácie z roku 2022 a zabezpečenie finančných prostriedkov na valorizáciu platov zamestnancov verejných vysokých škôl vyplývajúcu z kolektívneho vyjednávania od 1. januára 2023 a od 1. septembra 2023 v celkovej sume 75,3 mil. eur osobných výdavkov, z toho mzdy v sume 55,7 mil. eur. </w:t>
      </w:r>
    </w:p>
    <w:p w14:paraId="2AE37725" w14:textId="522DD4EB" w:rsidR="00900D60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>Medziročný pokles počtu zamestnancov verejných vysokých škôl oproti roku 2022 zohľadňuje opatrenia z Revízie výdavkov zamestnanosti a odmeňovania vo verejnej správe, ktoré spočívajú v optimalizácii počtu nepedagogických zamestnancov (816 osôb), rozloženej na viacero rokov a postupné znižovanie počtu učiteľov verejných vysokých škôl (519 osôb), s čím súvisí aj zníženie osobných výdavkov v roku 2023 o sumu 27,2 mil. eur, z toho mzdy v sume 20,1 mil. eur. V nadväznosti na opatrenia revízie boli verejným vysokým školám do rozpočtu alokované finančné prostriedky v sume 27,0 mil. eur určené na výkonnostné odmeňovanie, z toho mzdy predstavujú 20,0 mil. eur.</w:t>
      </w:r>
    </w:p>
    <w:p w14:paraId="434E0C25" w14:textId="77777777" w:rsidR="008F69F3" w:rsidRPr="00F75361" w:rsidRDefault="008F69F3" w:rsidP="00F753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559"/>
      </w:tblGrid>
      <w:tr w:rsidR="00F75361" w:rsidRPr="00F75361" w14:paraId="4EE29648" w14:textId="77777777" w:rsidTr="008F69F3">
        <w:trPr>
          <w:trHeight w:val="400"/>
        </w:trPr>
        <w:tc>
          <w:tcPr>
            <w:tcW w:w="3964" w:type="dxa"/>
            <w:shd w:val="clear" w:color="auto" w:fill="auto"/>
            <w:noWrap/>
            <w:hideMark/>
          </w:tcPr>
          <w:p w14:paraId="2C54DB8B" w14:textId="77777777" w:rsidR="00F75361" w:rsidRPr="00F75361" w:rsidRDefault="00F75361" w:rsidP="007704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 eurách</w:t>
            </w:r>
          </w:p>
        </w:tc>
        <w:tc>
          <w:tcPr>
            <w:tcW w:w="1843" w:type="dxa"/>
            <w:shd w:val="clear" w:color="auto" w:fill="auto"/>
            <w:noWrap/>
          </w:tcPr>
          <w:p w14:paraId="4E773B29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 R</w:t>
            </w:r>
          </w:p>
        </w:tc>
        <w:tc>
          <w:tcPr>
            <w:tcW w:w="1701" w:type="dxa"/>
            <w:shd w:val="clear" w:color="auto" w:fill="auto"/>
            <w:noWrap/>
          </w:tcPr>
          <w:p w14:paraId="4F2581AA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 OS</w:t>
            </w:r>
          </w:p>
        </w:tc>
        <w:tc>
          <w:tcPr>
            <w:tcW w:w="1559" w:type="dxa"/>
            <w:shd w:val="clear" w:color="auto" w:fill="auto"/>
            <w:noWrap/>
          </w:tcPr>
          <w:p w14:paraId="6CEC3491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 N</w:t>
            </w:r>
          </w:p>
        </w:tc>
      </w:tr>
      <w:tr w:rsidR="00F75361" w:rsidRPr="00F75361" w14:paraId="2A17C017" w14:textId="77777777" w:rsidTr="008F69F3">
        <w:trPr>
          <w:trHeight w:val="255"/>
        </w:trPr>
        <w:tc>
          <w:tcPr>
            <w:tcW w:w="3964" w:type="dxa"/>
            <w:shd w:val="clear" w:color="auto" w:fill="auto"/>
            <w:hideMark/>
          </w:tcPr>
          <w:p w14:paraId="65AC3134" w14:textId="77777777" w:rsidR="00F75361" w:rsidRPr="00F75361" w:rsidRDefault="00F75361" w:rsidP="007704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Výdavky na vysoké školstvo</w:t>
            </w:r>
          </w:p>
        </w:tc>
        <w:tc>
          <w:tcPr>
            <w:tcW w:w="1843" w:type="dxa"/>
            <w:shd w:val="clear" w:color="auto" w:fill="auto"/>
            <w:noWrap/>
          </w:tcPr>
          <w:p w14:paraId="19E88B0F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925 185</w:t>
            </w:r>
          </w:p>
        </w:tc>
        <w:tc>
          <w:tcPr>
            <w:tcW w:w="1701" w:type="dxa"/>
            <w:shd w:val="clear" w:color="auto" w:fill="auto"/>
            <w:noWrap/>
          </w:tcPr>
          <w:p w14:paraId="092B78E6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1 057 614</w:t>
            </w:r>
          </w:p>
        </w:tc>
        <w:tc>
          <w:tcPr>
            <w:tcW w:w="1559" w:type="dxa"/>
            <w:shd w:val="clear" w:color="auto" w:fill="auto"/>
            <w:noWrap/>
          </w:tcPr>
          <w:p w14:paraId="63C9B6BE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1 078 462</w:t>
            </w:r>
          </w:p>
        </w:tc>
      </w:tr>
      <w:tr w:rsidR="00F75361" w:rsidRPr="00F75361" w14:paraId="1A0E45D1" w14:textId="77777777" w:rsidTr="008F69F3">
        <w:trPr>
          <w:trHeight w:val="255"/>
        </w:trPr>
        <w:tc>
          <w:tcPr>
            <w:tcW w:w="3964" w:type="dxa"/>
            <w:shd w:val="clear" w:color="auto" w:fill="auto"/>
            <w:noWrap/>
            <w:hideMark/>
          </w:tcPr>
          <w:p w14:paraId="6C30E980" w14:textId="77777777" w:rsidR="00F75361" w:rsidRPr="00F75361" w:rsidRDefault="00F75361" w:rsidP="0077040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Výdavky verejných vysokých škôl</w:t>
            </w:r>
          </w:p>
        </w:tc>
        <w:tc>
          <w:tcPr>
            <w:tcW w:w="1843" w:type="dxa"/>
            <w:shd w:val="clear" w:color="auto" w:fill="auto"/>
            <w:noWrap/>
          </w:tcPr>
          <w:p w14:paraId="2B7AC7B7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840 001</w:t>
            </w:r>
          </w:p>
        </w:tc>
        <w:tc>
          <w:tcPr>
            <w:tcW w:w="1701" w:type="dxa"/>
            <w:shd w:val="clear" w:color="auto" w:fill="auto"/>
            <w:noWrap/>
          </w:tcPr>
          <w:p w14:paraId="204C86D5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950 599</w:t>
            </w:r>
          </w:p>
        </w:tc>
        <w:tc>
          <w:tcPr>
            <w:tcW w:w="1559" w:type="dxa"/>
            <w:shd w:val="clear" w:color="auto" w:fill="auto"/>
            <w:noWrap/>
          </w:tcPr>
          <w:p w14:paraId="32DD5A91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986 337</w:t>
            </w:r>
          </w:p>
        </w:tc>
      </w:tr>
      <w:tr w:rsidR="00F75361" w:rsidRPr="00F75361" w14:paraId="39E2910C" w14:textId="77777777" w:rsidTr="008F69F3">
        <w:trPr>
          <w:trHeight w:val="255"/>
        </w:trPr>
        <w:tc>
          <w:tcPr>
            <w:tcW w:w="3964" w:type="dxa"/>
            <w:shd w:val="clear" w:color="auto" w:fill="auto"/>
            <w:noWrap/>
            <w:hideMark/>
          </w:tcPr>
          <w:p w14:paraId="309928FC" w14:textId="77777777" w:rsidR="00F75361" w:rsidRPr="00F75361" w:rsidRDefault="00F75361" w:rsidP="0077040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Výdavky pre VVŠ cez MŠVVaŠ SR</w:t>
            </w:r>
          </w:p>
        </w:tc>
        <w:tc>
          <w:tcPr>
            <w:tcW w:w="1843" w:type="dxa"/>
            <w:shd w:val="clear" w:color="auto" w:fill="auto"/>
            <w:noWrap/>
          </w:tcPr>
          <w:p w14:paraId="7EC61F03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12 957</w:t>
            </w:r>
          </w:p>
        </w:tc>
        <w:tc>
          <w:tcPr>
            <w:tcW w:w="1701" w:type="dxa"/>
            <w:shd w:val="clear" w:color="auto" w:fill="auto"/>
            <w:noWrap/>
          </w:tcPr>
          <w:p w14:paraId="11A0C3A2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18 701</w:t>
            </w:r>
          </w:p>
        </w:tc>
        <w:tc>
          <w:tcPr>
            <w:tcW w:w="1559" w:type="dxa"/>
            <w:shd w:val="clear" w:color="auto" w:fill="auto"/>
            <w:noWrap/>
          </w:tcPr>
          <w:p w14:paraId="5F7DD5F9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13 517</w:t>
            </w:r>
          </w:p>
        </w:tc>
      </w:tr>
      <w:tr w:rsidR="00F75361" w:rsidRPr="00F75361" w14:paraId="45E434A0" w14:textId="77777777" w:rsidTr="008F69F3">
        <w:trPr>
          <w:trHeight w:val="255"/>
        </w:trPr>
        <w:tc>
          <w:tcPr>
            <w:tcW w:w="3964" w:type="dxa"/>
            <w:shd w:val="clear" w:color="auto" w:fill="auto"/>
            <w:noWrap/>
            <w:hideMark/>
          </w:tcPr>
          <w:p w14:paraId="43E35EE3" w14:textId="77777777" w:rsidR="00F75361" w:rsidRPr="00F75361" w:rsidRDefault="00F75361" w:rsidP="0077040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Rezortné vysokoškolské vzdelávanie</w:t>
            </w:r>
          </w:p>
        </w:tc>
        <w:tc>
          <w:tcPr>
            <w:tcW w:w="1843" w:type="dxa"/>
            <w:shd w:val="clear" w:color="auto" w:fill="auto"/>
            <w:noWrap/>
          </w:tcPr>
          <w:p w14:paraId="04BC0907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48 045</w:t>
            </w:r>
          </w:p>
        </w:tc>
        <w:tc>
          <w:tcPr>
            <w:tcW w:w="1701" w:type="dxa"/>
            <w:shd w:val="clear" w:color="auto" w:fill="auto"/>
            <w:noWrap/>
          </w:tcPr>
          <w:p w14:paraId="3CB30DDC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60 979</w:t>
            </w:r>
          </w:p>
        </w:tc>
        <w:tc>
          <w:tcPr>
            <w:tcW w:w="1559" w:type="dxa"/>
            <w:shd w:val="clear" w:color="auto" w:fill="auto"/>
            <w:noWrap/>
          </w:tcPr>
          <w:p w14:paraId="3C27933A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61 745</w:t>
            </w:r>
          </w:p>
        </w:tc>
      </w:tr>
      <w:tr w:rsidR="00F75361" w:rsidRPr="00F75361" w14:paraId="3BCA004B" w14:textId="77777777" w:rsidTr="008F69F3">
        <w:trPr>
          <w:trHeight w:val="255"/>
        </w:trPr>
        <w:tc>
          <w:tcPr>
            <w:tcW w:w="3964" w:type="dxa"/>
            <w:shd w:val="clear" w:color="auto" w:fill="auto"/>
            <w:noWrap/>
            <w:hideMark/>
          </w:tcPr>
          <w:p w14:paraId="5EC3B052" w14:textId="77777777" w:rsidR="00F75361" w:rsidRPr="00F75361" w:rsidRDefault="00F75361" w:rsidP="0077040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Zdroje EÚ vrátane spolufinancovania</w:t>
            </w:r>
          </w:p>
        </w:tc>
        <w:tc>
          <w:tcPr>
            <w:tcW w:w="1843" w:type="dxa"/>
            <w:shd w:val="clear" w:color="auto" w:fill="auto"/>
            <w:noWrap/>
          </w:tcPr>
          <w:p w14:paraId="14501D99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7 754</w:t>
            </w:r>
          </w:p>
        </w:tc>
        <w:tc>
          <w:tcPr>
            <w:tcW w:w="1701" w:type="dxa"/>
            <w:shd w:val="clear" w:color="auto" w:fill="auto"/>
            <w:noWrap/>
          </w:tcPr>
          <w:p w14:paraId="608C27F5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9 999</w:t>
            </w:r>
          </w:p>
        </w:tc>
        <w:tc>
          <w:tcPr>
            <w:tcW w:w="1559" w:type="dxa"/>
            <w:shd w:val="clear" w:color="auto" w:fill="auto"/>
            <w:noWrap/>
          </w:tcPr>
          <w:p w14:paraId="7BE5D6BD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F75361" w:rsidRPr="00F75361" w14:paraId="4B7728D8" w14:textId="77777777" w:rsidTr="008F69F3">
        <w:trPr>
          <w:trHeight w:val="281"/>
        </w:trPr>
        <w:tc>
          <w:tcPr>
            <w:tcW w:w="3964" w:type="dxa"/>
            <w:shd w:val="clear" w:color="auto" w:fill="auto"/>
          </w:tcPr>
          <w:p w14:paraId="4F79FF7B" w14:textId="77777777" w:rsidR="00F75361" w:rsidRPr="00F75361" w:rsidRDefault="00F75361" w:rsidP="0077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Fond na podporu vzdelávania</w:t>
            </w:r>
          </w:p>
        </w:tc>
        <w:tc>
          <w:tcPr>
            <w:tcW w:w="1843" w:type="dxa"/>
            <w:shd w:val="clear" w:color="auto" w:fill="auto"/>
          </w:tcPr>
          <w:p w14:paraId="164B0168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8 295</w:t>
            </w:r>
          </w:p>
        </w:tc>
        <w:tc>
          <w:tcPr>
            <w:tcW w:w="1701" w:type="dxa"/>
            <w:shd w:val="clear" w:color="auto" w:fill="auto"/>
          </w:tcPr>
          <w:p w14:paraId="56819F96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9 559</w:t>
            </w:r>
          </w:p>
        </w:tc>
        <w:tc>
          <w:tcPr>
            <w:tcW w:w="1559" w:type="dxa"/>
            <w:shd w:val="clear" w:color="auto" w:fill="auto"/>
          </w:tcPr>
          <w:p w14:paraId="45D42F29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8 290</w:t>
            </w:r>
          </w:p>
        </w:tc>
      </w:tr>
      <w:tr w:rsidR="00F75361" w:rsidRPr="00F75361" w14:paraId="3F75DF7F" w14:textId="77777777" w:rsidTr="008F69F3">
        <w:trPr>
          <w:trHeight w:val="281"/>
        </w:trPr>
        <w:tc>
          <w:tcPr>
            <w:tcW w:w="3964" w:type="dxa"/>
            <w:shd w:val="clear" w:color="auto" w:fill="auto"/>
          </w:tcPr>
          <w:p w14:paraId="3566B8D1" w14:textId="4F631C15" w:rsidR="00F75361" w:rsidRPr="00F75361" w:rsidRDefault="00F75361" w:rsidP="007704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SAV</w:t>
            </w:r>
            <w:r w:rsidR="00A23B3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doktorandské štúdium</w:t>
            </w:r>
          </w:p>
        </w:tc>
        <w:tc>
          <w:tcPr>
            <w:tcW w:w="1843" w:type="dxa"/>
            <w:shd w:val="clear" w:color="auto" w:fill="auto"/>
          </w:tcPr>
          <w:p w14:paraId="40CCF54E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5 068</w:t>
            </w:r>
          </w:p>
        </w:tc>
        <w:tc>
          <w:tcPr>
            <w:tcW w:w="1701" w:type="dxa"/>
            <w:shd w:val="clear" w:color="auto" w:fill="auto"/>
          </w:tcPr>
          <w:p w14:paraId="11EB80D7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4 714</w:t>
            </w:r>
          </w:p>
        </w:tc>
        <w:tc>
          <w:tcPr>
            <w:tcW w:w="1559" w:type="dxa"/>
            <w:shd w:val="clear" w:color="auto" w:fill="auto"/>
          </w:tcPr>
          <w:p w14:paraId="12BA60DF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4 714</w:t>
            </w:r>
          </w:p>
        </w:tc>
      </w:tr>
      <w:tr w:rsidR="00F75361" w:rsidRPr="00F75361" w14:paraId="443D31EF" w14:textId="77777777" w:rsidTr="008F69F3">
        <w:trPr>
          <w:trHeight w:val="281"/>
        </w:trPr>
        <w:tc>
          <w:tcPr>
            <w:tcW w:w="3964" w:type="dxa"/>
            <w:shd w:val="clear" w:color="auto" w:fill="auto"/>
          </w:tcPr>
          <w:p w14:paraId="280BF084" w14:textId="77777777" w:rsidR="00F75361" w:rsidRPr="00F75361" w:rsidRDefault="00F75361" w:rsidP="007704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POO bez transferov pre VVŠ</w:t>
            </w:r>
          </w:p>
        </w:tc>
        <w:tc>
          <w:tcPr>
            <w:tcW w:w="1843" w:type="dxa"/>
            <w:shd w:val="clear" w:color="auto" w:fill="auto"/>
          </w:tcPr>
          <w:p w14:paraId="6D16C893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3 065</w:t>
            </w:r>
          </w:p>
        </w:tc>
        <w:tc>
          <w:tcPr>
            <w:tcW w:w="1701" w:type="dxa"/>
            <w:shd w:val="clear" w:color="auto" w:fill="auto"/>
          </w:tcPr>
          <w:p w14:paraId="1E199A54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3 065</w:t>
            </w:r>
          </w:p>
        </w:tc>
        <w:tc>
          <w:tcPr>
            <w:tcW w:w="1559" w:type="dxa"/>
            <w:shd w:val="clear" w:color="auto" w:fill="auto"/>
          </w:tcPr>
          <w:p w14:paraId="574243C8" w14:textId="77777777" w:rsidR="00F75361" w:rsidRPr="00F75361" w:rsidRDefault="00F75361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3 860</w:t>
            </w:r>
          </w:p>
        </w:tc>
      </w:tr>
    </w:tbl>
    <w:p w14:paraId="03A1F972" w14:textId="77777777" w:rsidR="00900D60" w:rsidRPr="00F75361" w:rsidRDefault="00900D60" w:rsidP="00900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B357F" w14:textId="37B7E490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V rozpočte sú zapracované výdavky spojené s navýšením transferu verejným vysokým školám na výkonnostné zmluvy o 27 mil. eur, tiež výdavky spojené s návrhom zákona o finančnej podpore detí a rodín vo vzťahu k vysokoškolským študentkám, tzv. tehotenské štipendiá </w:t>
      </w:r>
      <w:r w:rsidR="00A23B3A">
        <w:rPr>
          <w:rFonts w:ascii="Times New Roman" w:hAnsi="Times New Roman" w:cs="Times New Roman"/>
          <w:sz w:val="24"/>
          <w:szCs w:val="24"/>
        </w:rPr>
        <w:t>a</w:t>
      </w:r>
      <w:r w:rsidRPr="00F75361">
        <w:rPr>
          <w:rFonts w:ascii="Times New Roman" w:hAnsi="Times New Roman" w:cs="Times New Roman"/>
          <w:sz w:val="24"/>
          <w:szCs w:val="24"/>
        </w:rPr>
        <w:t xml:space="preserve"> sociálne štipendiá spolu v sume 8,97 mil. eur, vládne štipendiá ako podpora bieloruskej občianskej spoločnosti v sume 2,1 mil. eur a finančné prostriedky z plánu obnovy vrátane DPH v sume 71,2 mil. eur. Výdavky z plánu obnovy majú slúžiť na kapitálové investície vysokých škôl, ako napríklad modernizácia budov a internátov. Dlhodobým cieľom je, aby sa aspoň jedna slovenská vysoká škola umiestnila medzi TOP500 vysokými školami sveta v renomovaných akademických rebríčkoch a ďalšie vysoké školy sa pravidelne umiestňovali v TOP1000. Prostriedky na oblasť vysokého školstva na rok 2023 predstavujú sumu 1,08 mld. eur. </w:t>
      </w:r>
    </w:p>
    <w:p w14:paraId="157033FD" w14:textId="77777777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Verejné vysoké školy budú používať na financovanie svojej hlavnej činnosti okrem prostriedkov poskytnutých Ministerstvom školstva, vedy, výskumu a športu SR aj vlastné </w:t>
      </w:r>
      <w:r w:rsidRPr="00582A02">
        <w:rPr>
          <w:rFonts w:ascii="Times New Roman" w:hAnsi="Times New Roman" w:cs="Times New Roman"/>
          <w:sz w:val="24"/>
          <w:szCs w:val="24"/>
        </w:rPr>
        <w:t xml:space="preserve">zdroje a zdroje vo výške 188 mil. eur a zdroje získané z podnikateľskej činnosti vo výške 59,1 </w:t>
      </w:r>
      <w:r w:rsidRPr="00F75361">
        <w:rPr>
          <w:rFonts w:ascii="Times New Roman" w:hAnsi="Times New Roman" w:cs="Times New Roman"/>
          <w:sz w:val="24"/>
          <w:szCs w:val="24"/>
        </w:rPr>
        <w:t>mil. eur, ktorá sa podľa novely zákona o vysokých školách účinnej od 25. apríla 2022 tiež rozpočtuje.</w:t>
      </w:r>
    </w:p>
    <w:p w14:paraId="37AE3A16" w14:textId="77777777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lastRenderedPageBreak/>
        <w:t>Výdavky celkom: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842"/>
      </w:tblGrid>
      <w:tr w:rsidR="00900D60" w:rsidRPr="00F75361" w14:paraId="14C33BA6" w14:textId="77777777" w:rsidTr="00F75361">
        <w:trPr>
          <w:trHeight w:val="400"/>
        </w:trPr>
        <w:tc>
          <w:tcPr>
            <w:tcW w:w="3823" w:type="dxa"/>
            <w:shd w:val="clear" w:color="auto" w:fill="auto"/>
            <w:noWrap/>
            <w:hideMark/>
          </w:tcPr>
          <w:p w14:paraId="726B0BF7" w14:textId="77777777" w:rsidR="00900D60" w:rsidRPr="00F75361" w:rsidRDefault="00900D60" w:rsidP="007704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 eurách</w:t>
            </w:r>
          </w:p>
        </w:tc>
        <w:tc>
          <w:tcPr>
            <w:tcW w:w="1701" w:type="dxa"/>
            <w:shd w:val="clear" w:color="auto" w:fill="auto"/>
            <w:noWrap/>
          </w:tcPr>
          <w:p w14:paraId="0FB6F0F4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 R</w:t>
            </w:r>
          </w:p>
        </w:tc>
        <w:tc>
          <w:tcPr>
            <w:tcW w:w="1701" w:type="dxa"/>
            <w:shd w:val="clear" w:color="auto" w:fill="auto"/>
            <w:noWrap/>
          </w:tcPr>
          <w:p w14:paraId="78467B9B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 OS</w:t>
            </w:r>
          </w:p>
        </w:tc>
        <w:tc>
          <w:tcPr>
            <w:tcW w:w="1842" w:type="dxa"/>
            <w:shd w:val="clear" w:color="auto" w:fill="auto"/>
            <w:noWrap/>
          </w:tcPr>
          <w:p w14:paraId="4300E7A3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 N</w:t>
            </w:r>
          </w:p>
        </w:tc>
      </w:tr>
      <w:tr w:rsidR="00900D60" w:rsidRPr="00F75361" w14:paraId="35791374" w14:textId="77777777" w:rsidTr="00F75361">
        <w:trPr>
          <w:trHeight w:val="255"/>
        </w:trPr>
        <w:tc>
          <w:tcPr>
            <w:tcW w:w="3823" w:type="dxa"/>
            <w:shd w:val="clear" w:color="auto" w:fill="auto"/>
          </w:tcPr>
          <w:p w14:paraId="20D40435" w14:textId="77777777" w:rsidR="00900D60" w:rsidRPr="00F75361" w:rsidRDefault="00900D60" w:rsidP="007704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Výdavky na vzdelávanie, vedu, výskum a šport</w:t>
            </w:r>
          </w:p>
        </w:tc>
        <w:tc>
          <w:tcPr>
            <w:tcW w:w="1701" w:type="dxa"/>
            <w:shd w:val="clear" w:color="auto" w:fill="auto"/>
            <w:noWrap/>
          </w:tcPr>
          <w:p w14:paraId="00B221E0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4 009 262</w:t>
            </w:r>
          </w:p>
        </w:tc>
        <w:tc>
          <w:tcPr>
            <w:tcW w:w="1701" w:type="dxa"/>
            <w:shd w:val="clear" w:color="auto" w:fill="auto"/>
            <w:noWrap/>
          </w:tcPr>
          <w:p w14:paraId="4CCA3FD4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4 358 408</w:t>
            </w:r>
          </w:p>
        </w:tc>
        <w:tc>
          <w:tcPr>
            <w:tcW w:w="1842" w:type="dxa"/>
            <w:shd w:val="clear" w:color="auto" w:fill="auto"/>
            <w:noWrap/>
          </w:tcPr>
          <w:p w14:paraId="05FF7D5D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4 490 374</w:t>
            </w:r>
          </w:p>
        </w:tc>
      </w:tr>
      <w:tr w:rsidR="00900D60" w:rsidRPr="00F75361" w14:paraId="440B4636" w14:textId="77777777" w:rsidTr="00F75361">
        <w:trPr>
          <w:trHeight w:val="255"/>
        </w:trPr>
        <w:tc>
          <w:tcPr>
            <w:tcW w:w="3823" w:type="dxa"/>
            <w:shd w:val="clear" w:color="auto" w:fill="auto"/>
            <w:noWrap/>
          </w:tcPr>
          <w:p w14:paraId="00EC2B9A" w14:textId="77777777" w:rsidR="00900D60" w:rsidRPr="00F75361" w:rsidRDefault="00900D60" w:rsidP="0077040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Výdavky na regionálne školstvo</w:t>
            </w:r>
          </w:p>
        </w:tc>
        <w:tc>
          <w:tcPr>
            <w:tcW w:w="1701" w:type="dxa"/>
            <w:shd w:val="clear" w:color="auto" w:fill="auto"/>
            <w:noWrap/>
          </w:tcPr>
          <w:p w14:paraId="7F5159FB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2 551 625</w:t>
            </w:r>
          </w:p>
        </w:tc>
        <w:tc>
          <w:tcPr>
            <w:tcW w:w="1701" w:type="dxa"/>
            <w:shd w:val="clear" w:color="auto" w:fill="auto"/>
            <w:noWrap/>
          </w:tcPr>
          <w:p w14:paraId="6EF5E45F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2 617 221</w:t>
            </w:r>
          </w:p>
        </w:tc>
        <w:tc>
          <w:tcPr>
            <w:tcW w:w="1842" w:type="dxa"/>
            <w:shd w:val="clear" w:color="auto" w:fill="auto"/>
            <w:noWrap/>
          </w:tcPr>
          <w:p w14:paraId="6A47155B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2 773 671</w:t>
            </w:r>
          </w:p>
        </w:tc>
      </w:tr>
      <w:tr w:rsidR="00900D60" w:rsidRPr="00F75361" w14:paraId="531E907D" w14:textId="77777777" w:rsidTr="00F75361">
        <w:trPr>
          <w:trHeight w:val="255"/>
        </w:trPr>
        <w:tc>
          <w:tcPr>
            <w:tcW w:w="3823" w:type="dxa"/>
            <w:shd w:val="clear" w:color="auto" w:fill="auto"/>
            <w:noWrap/>
          </w:tcPr>
          <w:p w14:paraId="7F914CA5" w14:textId="77777777" w:rsidR="00900D60" w:rsidRPr="00F75361" w:rsidRDefault="00900D60" w:rsidP="0077040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Výdavky na vysoké školstvo</w:t>
            </w:r>
          </w:p>
        </w:tc>
        <w:tc>
          <w:tcPr>
            <w:tcW w:w="1701" w:type="dxa"/>
            <w:shd w:val="clear" w:color="auto" w:fill="auto"/>
            <w:noWrap/>
          </w:tcPr>
          <w:p w14:paraId="04365DA4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925 185</w:t>
            </w:r>
          </w:p>
        </w:tc>
        <w:tc>
          <w:tcPr>
            <w:tcW w:w="1701" w:type="dxa"/>
            <w:shd w:val="clear" w:color="auto" w:fill="auto"/>
            <w:noWrap/>
          </w:tcPr>
          <w:p w14:paraId="34B30E42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1 057 614</w:t>
            </w:r>
          </w:p>
        </w:tc>
        <w:tc>
          <w:tcPr>
            <w:tcW w:w="1842" w:type="dxa"/>
            <w:shd w:val="clear" w:color="auto" w:fill="auto"/>
            <w:noWrap/>
          </w:tcPr>
          <w:p w14:paraId="5436BDDC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1 078 462</w:t>
            </w:r>
          </w:p>
        </w:tc>
      </w:tr>
      <w:tr w:rsidR="00900D60" w:rsidRPr="00F75361" w14:paraId="2A225A25" w14:textId="77777777" w:rsidTr="00F75361">
        <w:trPr>
          <w:trHeight w:val="255"/>
        </w:trPr>
        <w:tc>
          <w:tcPr>
            <w:tcW w:w="3823" w:type="dxa"/>
            <w:shd w:val="clear" w:color="auto" w:fill="auto"/>
            <w:noWrap/>
          </w:tcPr>
          <w:p w14:paraId="5699F702" w14:textId="77777777" w:rsidR="00900D60" w:rsidRPr="00F75361" w:rsidRDefault="00900D60" w:rsidP="0077040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Výdavky na vedu a techniku</w:t>
            </w:r>
          </w:p>
        </w:tc>
        <w:tc>
          <w:tcPr>
            <w:tcW w:w="1701" w:type="dxa"/>
            <w:shd w:val="clear" w:color="auto" w:fill="auto"/>
            <w:noWrap/>
          </w:tcPr>
          <w:p w14:paraId="6BA5DB45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237 618</w:t>
            </w:r>
          </w:p>
        </w:tc>
        <w:tc>
          <w:tcPr>
            <w:tcW w:w="1701" w:type="dxa"/>
            <w:shd w:val="clear" w:color="auto" w:fill="auto"/>
            <w:noWrap/>
          </w:tcPr>
          <w:p w14:paraId="54D9D436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316 908</w:t>
            </w:r>
          </w:p>
        </w:tc>
        <w:tc>
          <w:tcPr>
            <w:tcW w:w="1842" w:type="dxa"/>
            <w:shd w:val="clear" w:color="auto" w:fill="auto"/>
            <w:noWrap/>
          </w:tcPr>
          <w:p w14:paraId="43AEF60E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295 777</w:t>
            </w:r>
          </w:p>
        </w:tc>
      </w:tr>
      <w:tr w:rsidR="00900D60" w:rsidRPr="00F75361" w14:paraId="0D398A35" w14:textId="77777777" w:rsidTr="00F75361">
        <w:trPr>
          <w:trHeight w:val="255"/>
        </w:trPr>
        <w:tc>
          <w:tcPr>
            <w:tcW w:w="3823" w:type="dxa"/>
            <w:shd w:val="clear" w:color="auto" w:fill="auto"/>
            <w:noWrap/>
          </w:tcPr>
          <w:p w14:paraId="02E8F5DE" w14:textId="77777777" w:rsidR="00900D60" w:rsidRPr="00F75361" w:rsidRDefault="00900D60" w:rsidP="00770403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Výdavky na šport</w:t>
            </w:r>
          </w:p>
        </w:tc>
        <w:tc>
          <w:tcPr>
            <w:tcW w:w="1701" w:type="dxa"/>
            <w:shd w:val="clear" w:color="auto" w:fill="auto"/>
            <w:noWrap/>
          </w:tcPr>
          <w:p w14:paraId="3E2CF082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122 382</w:t>
            </w:r>
          </w:p>
        </w:tc>
        <w:tc>
          <w:tcPr>
            <w:tcW w:w="1701" w:type="dxa"/>
            <w:shd w:val="clear" w:color="auto" w:fill="auto"/>
            <w:noWrap/>
          </w:tcPr>
          <w:p w14:paraId="5D13812C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130 333</w:t>
            </w:r>
          </w:p>
        </w:tc>
        <w:tc>
          <w:tcPr>
            <w:tcW w:w="1842" w:type="dxa"/>
            <w:shd w:val="clear" w:color="auto" w:fill="auto"/>
            <w:noWrap/>
          </w:tcPr>
          <w:p w14:paraId="504F4C93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107 682</w:t>
            </w:r>
          </w:p>
        </w:tc>
      </w:tr>
      <w:tr w:rsidR="00900D60" w:rsidRPr="00F75361" w14:paraId="7B5A79FF" w14:textId="77777777" w:rsidTr="00F75361">
        <w:trPr>
          <w:trHeight w:val="281"/>
        </w:trPr>
        <w:tc>
          <w:tcPr>
            <w:tcW w:w="3823" w:type="dxa"/>
            <w:shd w:val="clear" w:color="auto" w:fill="auto"/>
          </w:tcPr>
          <w:p w14:paraId="7377CED2" w14:textId="77777777" w:rsidR="00900D60" w:rsidRPr="00F75361" w:rsidRDefault="00900D60" w:rsidP="0077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Výdavky na administratívu</w:t>
            </w:r>
          </w:p>
        </w:tc>
        <w:tc>
          <w:tcPr>
            <w:tcW w:w="1701" w:type="dxa"/>
            <w:shd w:val="clear" w:color="auto" w:fill="auto"/>
          </w:tcPr>
          <w:p w14:paraId="564637A3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55 390</w:t>
            </w:r>
          </w:p>
        </w:tc>
        <w:tc>
          <w:tcPr>
            <w:tcW w:w="1701" w:type="dxa"/>
            <w:shd w:val="clear" w:color="auto" w:fill="auto"/>
          </w:tcPr>
          <w:p w14:paraId="5ED1510A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56 089</w:t>
            </w:r>
          </w:p>
        </w:tc>
        <w:tc>
          <w:tcPr>
            <w:tcW w:w="1842" w:type="dxa"/>
            <w:shd w:val="clear" w:color="auto" w:fill="auto"/>
          </w:tcPr>
          <w:p w14:paraId="1F1ECAE5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58 206</w:t>
            </w:r>
          </w:p>
        </w:tc>
      </w:tr>
      <w:tr w:rsidR="00900D60" w:rsidRPr="00F75361" w14:paraId="1DBC0EA4" w14:textId="77777777" w:rsidTr="00F75361">
        <w:trPr>
          <w:trHeight w:val="281"/>
        </w:trPr>
        <w:tc>
          <w:tcPr>
            <w:tcW w:w="3823" w:type="dxa"/>
            <w:shd w:val="clear" w:color="auto" w:fill="auto"/>
          </w:tcPr>
          <w:p w14:paraId="59071E6D" w14:textId="77777777" w:rsidR="00900D60" w:rsidRPr="00F75361" w:rsidRDefault="00900D60" w:rsidP="007704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Výdavky z EU a SP neuvádzané</w:t>
            </w:r>
          </w:p>
        </w:tc>
        <w:tc>
          <w:tcPr>
            <w:tcW w:w="1701" w:type="dxa"/>
            <w:shd w:val="clear" w:color="auto" w:fill="auto"/>
          </w:tcPr>
          <w:p w14:paraId="01271FEE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117 063</w:t>
            </w:r>
          </w:p>
        </w:tc>
        <w:tc>
          <w:tcPr>
            <w:tcW w:w="1701" w:type="dxa"/>
            <w:shd w:val="clear" w:color="auto" w:fill="auto"/>
          </w:tcPr>
          <w:p w14:paraId="5500A941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180 243</w:t>
            </w:r>
          </w:p>
        </w:tc>
        <w:tc>
          <w:tcPr>
            <w:tcW w:w="1842" w:type="dxa"/>
            <w:shd w:val="clear" w:color="auto" w:fill="auto"/>
          </w:tcPr>
          <w:p w14:paraId="1569FA82" w14:textId="77777777" w:rsidR="00900D60" w:rsidRPr="00F75361" w:rsidRDefault="00900D60" w:rsidP="0077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61">
              <w:rPr>
                <w:rFonts w:ascii="Times New Roman" w:hAnsi="Times New Roman" w:cs="Times New Roman"/>
                <w:sz w:val="24"/>
                <w:szCs w:val="24"/>
              </w:rPr>
              <w:t>176 576</w:t>
            </w:r>
          </w:p>
        </w:tc>
      </w:tr>
    </w:tbl>
    <w:p w14:paraId="0E58F68E" w14:textId="77777777" w:rsidR="00900D60" w:rsidRPr="00F75361" w:rsidRDefault="00900D60" w:rsidP="00900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76BDF" w14:textId="77777777" w:rsidR="00900D60" w:rsidRPr="00F75361" w:rsidRDefault="00900D60" w:rsidP="00F753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361">
        <w:rPr>
          <w:rFonts w:ascii="Times New Roman" w:hAnsi="Times New Roman" w:cs="Times New Roman"/>
          <w:b/>
          <w:bCs/>
          <w:sz w:val="24"/>
          <w:szCs w:val="24"/>
        </w:rPr>
        <w:t>V uvedených výdavkoch na rok 2023 sú premietnuté nasledujúce zmeny:</w:t>
      </w:r>
    </w:p>
    <w:p w14:paraId="7FF20C05" w14:textId="6C678F60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 </w:t>
      </w:r>
      <w:r w:rsidRPr="00F7536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361">
        <w:rPr>
          <w:rFonts w:ascii="Times New Roman" w:hAnsi="Times New Roman" w:cs="Times New Roman"/>
          <w:sz w:val="24"/>
          <w:szCs w:val="24"/>
        </w:rPr>
        <w:t xml:space="preserve"> zvýšenie osobných výdavkov v súvislosti s výsledkami kolektívneho vyjednávania vo výške 392,2 mil. eur</w:t>
      </w:r>
      <w:r w:rsidR="00A23B3A">
        <w:rPr>
          <w:rFonts w:ascii="Times New Roman" w:hAnsi="Times New Roman" w:cs="Times New Roman"/>
          <w:sz w:val="24"/>
          <w:szCs w:val="24"/>
        </w:rPr>
        <w:t>,</w:t>
      </w:r>
    </w:p>
    <w:p w14:paraId="03C41CFF" w14:textId="5BF43662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361">
        <w:rPr>
          <w:rFonts w:ascii="Times New Roman" w:hAnsi="Times New Roman" w:cs="Times New Roman"/>
          <w:sz w:val="24"/>
          <w:szCs w:val="24"/>
        </w:rPr>
        <w:t xml:space="preserve"> zvýšenie výdavkov zo štrukturálnych fondov EÚ vrátane spolufinancovania o 45,7 mil. eur</w:t>
      </w:r>
      <w:r w:rsidR="00A23B3A">
        <w:rPr>
          <w:rFonts w:ascii="Times New Roman" w:hAnsi="Times New Roman" w:cs="Times New Roman"/>
          <w:sz w:val="24"/>
          <w:szCs w:val="24"/>
        </w:rPr>
        <w:t>,</w:t>
      </w:r>
      <w:r w:rsidRPr="00F75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91BCF" w14:textId="52CBEED3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361">
        <w:rPr>
          <w:rFonts w:ascii="Times New Roman" w:hAnsi="Times New Roman" w:cs="Times New Roman"/>
          <w:sz w:val="24"/>
          <w:szCs w:val="24"/>
        </w:rPr>
        <w:t xml:space="preserve"> zvýšenie normatívnych finančných prostriedkov o 40 mil. eur na pokrytie nárastu počtu žiakov a na zvýšenie cien energií</w:t>
      </w:r>
      <w:r w:rsidR="00A23B3A">
        <w:rPr>
          <w:rFonts w:ascii="Times New Roman" w:hAnsi="Times New Roman" w:cs="Times New Roman"/>
          <w:sz w:val="24"/>
          <w:szCs w:val="24"/>
        </w:rPr>
        <w:t>,</w:t>
      </w:r>
    </w:p>
    <w:p w14:paraId="2DCC9E61" w14:textId="3A2CC3F1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361">
        <w:rPr>
          <w:rFonts w:ascii="Times New Roman" w:hAnsi="Times New Roman" w:cs="Times New Roman"/>
          <w:sz w:val="24"/>
          <w:szCs w:val="24"/>
        </w:rPr>
        <w:t xml:space="preserve"> navýšenie transferu verejným vysokým školám na výkonnostné zmluvy o 27 mil. eur</w:t>
      </w:r>
      <w:r w:rsidR="00A23B3A">
        <w:rPr>
          <w:rFonts w:ascii="Times New Roman" w:hAnsi="Times New Roman" w:cs="Times New Roman"/>
          <w:sz w:val="24"/>
          <w:szCs w:val="24"/>
        </w:rPr>
        <w:t>,</w:t>
      </w:r>
    </w:p>
    <w:p w14:paraId="1DE4C256" w14:textId="02A4AE94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361">
        <w:rPr>
          <w:rFonts w:ascii="Times New Roman" w:hAnsi="Times New Roman" w:cs="Times New Roman"/>
          <w:sz w:val="24"/>
          <w:szCs w:val="24"/>
        </w:rPr>
        <w:t xml:space="preserve"> zvýšenie príspevku pre subjekty zapojené do systému duálneho vzdelávania o 2,21 mil. eur</w:t>
      </w:r>
      <w:r w:rsidR="00A23B3A">
        <w:rPr>
          <w:rFonts w:ascii="Times New Roman" w:hAnsi="Times New Roman" w:cs="Times New Roman"/>
          <w:sz w:val="24"/>
          <w:szCs w:val="24"/>
        </w:rPr>
        <w:t>,</w:t>
      </w:r>
      <w:r w:rsidRPr="00F75361">
        <w:rPr>
          <w:rFonts w:ascii="Times New Roman" w:hAnsi="Times New Roman" w:cs="Times New Roman"/>
          <w:sz w:val="24"/>
          <w:szCs w:val="24"/>
        </w:rPr>
        <w:t xml:space="preserve"> </w:t>
      </w:r>
      <w:r w:rsidRPr="00F75361">
        <w:rPr>
          <w:rFonts w:ascii="Times New Roman" w:hAnsi="Times New Roman" w:cs="Times New Roman"/>
          <w:sz w:val="24"/>
          <w:szCs w:val="24"/>
        </w:rPr>
        <w:sym w:font="Symbol" w:char="F0B7"/>
      </w:r>
      <w:r w:rsidRPr="00F75361">
        <w:rPr>
          <w:rFonts w:ascii="Times New Roman" w:hAnsi="Times New Roman" w:cs="Times New Roman"/>
          <w:sz w:val="24"/>
          <w:szCs w:val="24"/>
        </w:rPr>
        <w:t xml:space="preserve"> zvýšenie kapitálových výdavkov na riešenie vzniknutých havarijných situácií v regionálnom školstve o 1,5 mil. eu</w:t>
      </w:r>
      <w:r w:rsidR="00A23B3A">
        <w:rPr>
          <w:rFonts w:ascii="Times New Roman" w:hAnsi="Times New Roman" w:cs="Times New Roman"/>
          <w:sz w:val="24"/>
          <w:szCs w:val="24"/>
        </w:rPr>
        <w:t>r.</w:t>
      </w:r>
    </w:p>
    <w:p w14:paraId="2B6496D1" w14:textId="77777777" w:rsidR="00900D60" w:rsidRPr="00F75361" w:rsidRDefault="00900D60" w:rsidP="00F753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361">
        <w:rPr>
          <w:rFonts w:ascii="Times New Roman" w:hAnsi="Times New Roman" w:cs="Times New Roman"/>
          <w:b/>
          <w:bCs/>
          <w:sz w:val="24"/>
          <w:szCs w:val="24"/>
        </w:rPr>
        <w:t>INÉ:</w:t>
      </w:r>
    </w:p>
    <w:p w14:paraId="47BFB0D5" w14:textId="77777777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Návrh rozpočtu verejnej správy na rok 2023 zohľadňuje premietnutie valorizácií z rokov 2022 a 2023 v súhrnnej sume 753 mil. eur, z toho mzdy v sume 557 mil. eur, v tom pre rozpočtové organizácie kapitol štátneho rozpočtu osobné výdavky v sume 371 mil. eur, z toho mzdy 274 mil. eur. </w:t>
      </w:r>
    </w:p>
    <w:p w14:paraId="1FEFAD81" w14:textId="77777777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Premietnutá valorizácia z roku 2022 je na úrovni 3 %. Zároveň je zohľadnená valorizácia platov štátnych zamestnancov v štátnozamestnaneckom pomere a v služobnom pomere a zamestnancov pri výkone práce vo verejnom záujme od 1. 1. 2023 o 7 % a od 1. 9. 2023 o ďalších 10 %.  </w:t>
      </w:r>
      <w:r w:rsidRPr="00F75361">
        <w:rPr>
          <w:rFonts w:ascii="Times New Roman" w:hAnsi="Times New Roman" w:cs="Times New Roman"/>
          <w:b/>
          <w:bCs/>
          <w:sz w:val="24"/>
          <w:szCs w:val="24"/>
        </w:rPr>
        <w:t>Ďalej je zapracovaná 10 % valorizácia platov učiteľov vysokých škôl a výskumných a vývojových zamestnancov a pedagogických zamestnancov a odborných zamestnancov od 1. 1. 2023 a 12 % valorizácia od 1. 9. 2023</w:t>
      </w:r>
      <w:r w:rsidRPr="00F75361">
        <w:rPr>
          <w:rFonts w:ascii="Times New Roman" w:hAnsi="Times New Roman" w:cs="Times New Roman"/>
          <w:sz w:val="24"/>
          <w:szCs w:val="24"/>
        </w:rPr>
        <w:t>.</w:t>
      </w:r>
    </w:p>
    <w:p w14:paraId="48DFE456" w14:textId="77777777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 Z dôvodu rastu minimálnej mzdy v roku 2023 na 700 eur je v návrhu rozpočtu zapracované aj zvýšenie osobných výdavkov pre zamestnancov odmeňovaných podľa zákonníka práce v sume 3,96 mil. eur, z toho mzdy 2,94 mil. eur.</w:t>
      </w:r>
    </w:p>
    <w:p w14:paraId="5047931B" w14:textId="77777777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lastRenderedPageBreak/>
        <w:t xml:space="preserve"> V nadväznosti na úlohu z uznesenia vlády SR k návrhu rozpočtu verejnej správy na roky 2023 až 2025 „neposkytovať zamestnancovi v štátnozamestnaneckom pomere, v služobnom pomere alebo v pracovnom pomere odmenu z výdavkov štátneho rozpočtu na rok 2023 okrem </w:t>
      </w:r>
      <w:proofErr w:type="spellStart"/>
      <w:r w:rsidRPr="00F75361">
        <w:rPr>
          <w:rFonts w:ascii="Times New Roman" w:hAnsi="Times New Roman" w:cs="Times New Roman"/>
          <w:sz w:val="24"/>
          <w:szCs w:val="24"/>
        </w:rPr>
        <w:t>nárokovateľnej</w:t>
      </w:r>
      <w:proofErr w:type="spellEnd"/>
      <w:r w:rsidRPr="00F75361">
        <w:rPr>
          <w:rFonts w:ascii="Times New Roman" w:hAnsi="Times New Roman" w:cs="Times New Roman"/>
          <w:sz w:val="24"/>
          <w:szCs w:val="24"/>
        </w:rPr>
        <w:t xml:space="preserve"> odmeny vyplývajúcej zo zákona alebo z kolektívnej zmluvy“ v termíne od 1. januára 2023 do 30. apríla 2023, sa predpokladá úspora osobných výdavkov vo výške cca </w:t>
      </w:r>
      <w:r w:rsidRPr="00F75361">
        <w:rPr>
          <w:rFonts w:ascii="Times New Roman" w:hAnsi="Times New Roman" w:cs="Times New Roman"/>
          <w:b/>
          <w:bCs/>
          <w:sz w:val="24"/>
          <w:szCs w:val="24"/>
        </w:rPr>
        <w:t>100 mil. eur</w:t>
      </w:r>
      <w:r w:rsidRPr="00F75361">
        <w:rPr>
          <w:rFonts w:ascii="Times New Roman" w:hAnsi="Times New Roman" w:cs="Times New Roman"/>
          <w:sz w:val="24"/>
          <w:szCs w:val="24"/>
        </w:rPr>
        <w:t xml:space="preserve">. Tieto prostriedky umožnia v prípade potreby zvýšiť disponibilné zdroje rezervy na kompenzačné opatrenia súvisiace s rastom cien energií na celkový </w:t>
      </w:r>
      <w:r w:rsidRPr="00F75361">
        <w:rPr>
          <w:rFonts w:ascii="Times New Roman" w:hAnsi="Times New Roman" w:cs="Times New Roman"/>
          <w:b/>
          <w:bCs/>
          <w:sz w:val="24"/>
          <w:szCs w:val="24"/>
        </w:rPr>
        <w:t>objem 3,5 mld</w:t>
      </w:r>
      <w:r w:rsidRPr="00F75361">
        <w:rPr>
          <w:rFonts w:ascii="Times New Roman" w:hAnsi="Times New Roman" w:cs="Times New Roman"/>
          <w:sz w:val="24"/>
          <w:szCs w:val="24"/>
        </w:rPr>
        <w:t xml:space="preserve">. eur. </w:t>
      </w:r>
    </w:p>
    <w:p w14:paraId="64E340CF" w14:textId="77777777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>Úroveň osobných výdavkov zamestnancov financovaných zo štátneho rozpočtu v roku 2023 zohľadňuje okrem finančného krytia osobných výdavkov zvýšeného počtu zamestnancov aj ďalšie medziročné viazanie osobných výdavkov policajtov a zamestnancov verejných vysokých škôl vyplývajúce z Revízie výdavkov zamestnanosti a odmeňovania vo verejnej správe v sume 44,7 mil. eur, z toho:</w:t>
      </w:r>
    </w:p>
    <w:p w14:paraId="7D3A2268" w14:textId="77777777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 - zníženie osobných výdavkov policajtov sume 17,5 mil. eur,</w:t>
      </w:r>
    </w:p>
    <w:p w14:paraId="3A46EE7C" w14:textId="02CA129A" w:rsidR="00900D60" w:rsidRPr="00F75361" w:rsidRDefault="00900D60" w:rsidP="00F75361">
      <w:pPr>
        <w:jc w:val="both"/>
        <w:rPr>
          <w:rFonts w:ascii="Times New Roman" w:hAnsi="Times New Roman" w:cs="Times New Roman"/>
          <w:sz w:val="24"/>
          <w:szCs w:val="24"/>
        </w:rPr>
      </w:pPr>
      <w:r w:rsidRPr="00F75361">
        <w:rPr>
          <w:rFonts w:ascii="Times New Roman" w:hAnsi="Times New Roman" w:cs="Times New Roman"/>
          <w:sz w:val="24"/>
          <w:szCs w:val="24"/>
        </w:rPr>
        <w:t xml:space="preserve"> - zníženie osobných výdavkov zamestnancov verejných vysokých škôl sume 27,2 mil. eur</w:t>
      </w:r>
      <w:r w:rsidR="00A23B3A">
        <w:rPr>
          <w:rFonts w:ascii="Times New Roman" w:hAnsi="Times New Roman" w:cs="Times New Roman"/>
          <w:sz w:val="24"/>
          <w:szCs w:val="24"/>
        </w:rPr>
        <w:t>.</w:t>
      </w:r>
    </w:p>
    <w:p w14:paraId="40558C8F" w14:textId="07013561" w:rsidR="006E4F9C" w:rsidRDefault="006E4F9C" w:rsidP="00F753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98DE6" w14:textId="70758B37" w:rsidR="002814D2" w:rsidRDefault="002814D2" w:rsidP="00F753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AB4F0" w14:textId="3230430E" w:rsidR="002814D2" w:rsidRPr="002814D2" w:rsidRDefault="002814D2" w:rsidP="00F75361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814D2">
        <w:rPr>
          <w:rFonts w:ascii="Times New Roman" w:hAnsi="Times New Roman" w:cs="Times New Roman"/>
          <w:i/>
          <w:iCs/>
          <w:sz w:val="18"/>
          <w:szCs w:val="18"/>
        </w:rPr>
        <w:t>Vysvetlivky:</w:t>
      </w:r>
    </w:p>
    <w:p w14:paraId="6BAA3414" w14:textId="4B842938" w:rsidR="002814D2" w:rsidRPr="002814D2" w:rsidRDefault="002814D2" w:rsidP="00F75361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814D2">
        <w:rPr>
          <w:rFonts w:ascii="Times New Roman" w:hAnsi="Times New Roman" w:cs="Times New Roman"/>
          <w:i/>
          <w:iCs/>
          <w:sz w:val="18"/>
          <w:szCs w:val="18"/>
        </w:rPr>
        <w:t>R – rozpočet</w:t>
      </w:r>
    </w:p>
    <w:p w14:paraId="282E341E" w14:textId="03C3A21A" w:rsidR="002814D2" w:rsidRPr="002814D2" w:rsidRDefault="002814D2" w:rsidP="00F75361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814D2">
        <w:rPr>
          <w:rFonts w:ascii="Times New Roman" w:hAnsi="Times New Roman" w:cs="Times New Roman"/>
          <w:i/>
          <w:iCs/>
          <w:sz w:val="18"/>
          <w:szCs w:val="18"/>
        </w:rPr>
        <w:t>OS – očakávaná skutočnosť</w:t>
      </w:r>
    </w:p>
    <w:p w14:paraId="1CD8FD8F" w14:textId="77777777" w:rsidR="002814D2" w:rsidRPr="002814D2" w:rsidRDefault="002814D2" w:rsidP="002814D2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814D2">
        <w:rPr>
          <w:rFonts w:ascii="Times New Roman" w:hAnsi="Times New Roman" w:cs="Times New Roman"/>
          <w:i/>
          <w:iCs/>
          <w:sz w:val="18"/>
          <w:szCs w:val="18"/>
        </w:rPr>
        <w:t>N – návrh</w:t>
      </w:r>
    </w:p>
    <w:p w14:paraId="193B8E91" w14:textId="77777777" w:rsidR="002814D2" w:rsidRDefault="002814D2" w:rsidP="00F753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AF852" w14:textId="77777777" w:rsidR="002814D2" w:rsidRPr="00F75361" w:rsidRDefault="002814D2" w:rsidP="00F753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14D2" w:rsidRPr="00F753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24E6" w14:textId="77777777" w:rsidR="008B052A" w:rsidRDefault="008B052A" w:rsidP="008F69F3">
      <w:pPr>
        <w:spacing w:after="0" w:line="240" w:lineRule="auto"/>
      </w:pPr>
      <w:r>
        <w:separator/>
      </w:r>
    </w:p>
  </w:endnote>
  <w:endnote w:type="continuationSeparator" w:id="0">
    <w:p w14:paraId="2B36E268" w14:textId="77777777" w:rsidR="008B052A" w:rsidRDefault="008B052A" w:rsidP="008F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753698"/>
      <w:docPartObj>
        <w:docPartGallery w:val="Page Numbers (Bottom of Page)"/>
        <w:docPartUnique/>
      </w:docPartObj>
    </w:sdtPr>
    <w:sdtEndPr/>
    <w:sdtContent>
      <w:p w14:paraId="6A90B71C" w14:textId="34B29C64" w:rsidR="008F69F3" w:rsidRDefault="008F69F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5D1">
          <w:rPr>
            <w:noProof/>
          </w:rPr>
          <w:t>3</w:t>
        </w:r>
        <w:r>
          <w:fldChar w:fldCharType="end"/>
        </w:r>
      </w:p>
    </w:sdtContent>
  </w:sdt>
  <w:p w14:paraId="524D62B8" w14:textId="77777777" w:rsidR="008F69F3" w:rsidRDefault="008F69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C6C0" w14:textId="77777777" w:rsidR="008B052A" w:rsidRDefault="008B052A" w:rsidP="008F69F3">
      <w:pPr>
        <w:spacing w:after="0" w:line="240" w:lineRule="auto"/>
      </w:pPr>
      <w:r>
        <w:separator/>
      </w:r>
    </w:p>
  </w:footnote>
  <w:footnote w:type="continuationSeparator" w:id="0">
    <w:p w14:paraId="27C7376D" w14:textId="77777777" w:rsidR="008B052A" w:rsidRDefault="008B052A" w:rsidP="008F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699"/>
    <w:multiLevelType w:val="hybridMultilevel"/>
    <w:tmpl w:val="E3865270"/>
    <w:lvl w:ilvl="0" w:tplc="262245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9C"/>
    <w:rsid w:val="000B7163"/>
    <w:rsid w:val="002814D2"/>
    <w:rsid w:val="00582A02"/>
    <w:rsid w:val="005C7FDC"/>
    <w:rsid w:val="006E4F9C"/>
    <w:rsid w:val="008B052A"/>
    <w:rsid w:val="008D25C5"/>
    <w:rsid w:val="008F69F3"/>
    <w:rsid w:val="00900D60"/>
    <w:rsid w:val="009305D1"/>
    <w:rsid w:val="009562BE"/>
    <w:rsid w:val="00A23B3A"/>
    <w:rsid w:val="00AF6AFB"/>
    <w:rsid w:val="00BE4321"/>
    <w:rsid w:val="00D0732A"/>
    <w:rsid w:val="00F75361"/>
    <w:rsid w:val="00F9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0713"/>
  <w15:chartTrackingRefBased/>
  <w15:docId w15:val="{9CD5D858-55EA-40BF-B717-63A9C3AE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E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F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69F3"/>
  </w:style>
  <w:style w:type="paragraph" w:styleId="Pta">
    <w:name w:val="footer"/>
    <w:basedOn w:val="Normlny"/>
    <w:link w:val="PtaChar"/>
    <w:uiPriority w:val="99"/>
    <w:unhideWhenUsed/>
    <w:rsid w:val="008F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69F3"/>
  </w:style>
  <w:style w:type="paragraph" w:styleId="Odsekzoznamu">
    <w:name w:val="List Paragraph"/>
    <w:basedOn w:val="Normlny"/>
    <w:uiPriority w:val="34"/>
    <w:qFormat/>
    <w:rsid w:val="008D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81E5-201C-47F3-B8FC-9F9A0EF8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2022-10-17T09:33:00Z</cp:lastPrinted>
  <dcterms:created xsi:type="dcterms:W3CDTF">2022-10-17T08:51:00Z</dcterms:created>
  <dcterms:modified xsi:type="dcterms:W3CDTF">2022-10-17T10:23:00Z</dcterms:modified>
</cp:coreProperties>
</file>