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5B971" w14:textId="77777777" w:rsidR="00C23121" w:rsidRDefault="00C23121" w:rsidP="00C23121">
      <w:pPr>
        <w:spacing w:line="200" w:lineRule="exact"/>
      </w:pPr>
      <w:bookmarkStart w:id="0" w:name="page1"/>
      <w:bookmarkEnd w:id="0"/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0" allowOverlap="1" wp14:anchorId="4DBE1143" wp14:editId="0FA92231">
            <wp:simplePos x="0" y="0"/>
            <wp:positionH relativeFrom="page">
              <wp:posOffset>5908675</wp:posOffset>
            </wp:positionH>
            <wp:positionV relativeFrom="page">
              <wp:posOffset>734060</wp:posOffset>
            </wp:positionV>
            <wp:extent cx="553720" cy="620395"/>
            <wp:effectExtent l="0" t="0" r="0" b="825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816D7" w14:textId="77777777" w:rsidR="00C23121" w:rsidRDefault="00C23121" w:rsidP="00C23121">
      <w:pPr>
        <w:spacing w:line="200" w:lineRule="exact"/>
      </w:pPr>
    </w:p>
    <w:p w14:paraId="02B11A70" w14:textId="77777777" w:rsidR="00C23121" w:rsidRDefault="00C23121" w:rsidP="00C23121">
      <w:pPr>
        <w:spacing w:line="200" w:lineRule="exact"/>
      </w:pPr>
    </w:p>
    <w:p w14:paraId="5F4FF67B" w14:textId="77777777" w:rsidR="00C23121" w:rsidRDefault="00C23121" w:rsidP="00C23121">
      <w:pPr>
        <w:spacing w:line="200" w:lineRule="exact"/>
      </w:pPr>
    </w:p>
    <w:p w14:paraId="19AFA494" w14:textId="77777777" w:rsidR="00C23121" w:rsidRDefault="00C23121" w:rsidP="00C23121">
      <w:pPr>
        <w:spacing w:line="200" w:lineRule="exact"/>
      </w:pPr>
    </w:p>
    <w:p w14:paraId="02498EB9" w14:textId="77777777" w:rsidR="00C23121" w:rsidRDefault="00C23121" w:rsidP="00C23121">
      <w:pPr>
        <w:spacing w:line="200" w:lineRule="exact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0" allowOverlap="1" wp14:anchorId="66916606" wp14:editId="7303E52B">
            <wp:simplePos x="0" y="0"/>
            <wp:positionH relativeFrom="page">
              <wp:posOffset>1376045</wp:posOffset>
            </wp:positionH>
            <wp:positionV relativeFrom="page">
              <wp:posOffset>668020</wp:posOffset>
            </wp:positionV>
            <wp:extent cx="1943100" cy="68580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E0C52" w14:textId="75B5C255" w:rsidR="0032320C" w:rsidRDefault="0032320C" w:rsidP="0032320C">
      <w:pPr>
        <w:spacing w:line="296" w:lineRule="auto"/>
        <w:jc w:val="center"/>
        <w:rPr>
          <w:rFonts w:ascii="Arial" w:eastAsia="Arial" w:hAnsi="Arial"/>
          <w:b/>
          <w:sz w:val="29"/>
        </w:rPr>
      </w:pPr>
      <w:r>
        <w:rPr>
          <w:rFonts w:ascii="Arial" w:eastAsia="Arial" w:hAnsi="Arial"/>
          <w:b/>
          <w:sz w:val="29"/>
        </w:rPr>
        <w:t>Úrad vlády Slovenskej republiky</w:t>
      </w:r>
    </w:p>
    <w:p w14:paraId="5AF4F139" w14:textId="77777777" w:rsidR="00C23121" w:rsidRDefault="00C23121" w:rsidP="00C23121">
      <w:pPr>
        <w:spacing w:after="120" w:line="295" w:lineRule="auto"/>
        <w:jc w:val="center"/>
        <w:rPr>
          <w:rFonts w:ascii="Arial" w:eastAsia="Arial" w:hAnsi="Arial"/>
          <w:b/>
          <w:sz w:val="29"/>
        </w:rPr>
      </w:pPr>
      <w:r>
        <w:rPr>
          <w:rFonts w:ascii="Arial" w:eastAsia="Arial" w:hAnsi="Arial"/>
          <w:b/>
          <w:sz w:val="29"/>
        </w:rPr>
        <w:t>Inštitút pre stratégie a analýzy</w:t>
      </w:r>
    </w:p>
    <w:p w14:paraId="30A991C2" w14:textId="77777777" w:rsidR="00C23121" w:rsidRDefault="00C23121" w:rsidP="00C23121">
      <w:pPr>
        <w:spacing w:line="200" w:lineRule="exact"/>
      </w:pPr>
    </w:p>
    <w:p w14:paraId="74497A12" w14:textId="77777777" w:rsidR="00C23121" w:rsidRDefault="00C23121" w:rsidP="00C23121">
      <w:pPr>
        <w:spacing w:line="200" w:lineRule="exact"/>
      </w:pPr>
      <w:bookmarkStart w:id="1" w:name="_GoBack"/>
      <w:bookmarkEnd w:id="1"/>
    </w:p>
    <w:p w14:paraId="41DCF708" w14:textId="77777777" w:rsidR="00C23121" w:rsidRDefault="00C23121" w:rsidP="00C23121">
      <w:pPr>
        <w:spacing w:line="200" w:lineRule="exact"/>
      </w:pPr>
    </w:p>
    <w:p w14:paraId="5C73AB4A" w14:textId="77777777" w:rsidR="00C23121" w:rsidRDefault="00C23121" w:rsidP="00C23121">
      <w:pPr>
        <w:spacing w:line="200" w:lineRule="exact"/>
      </w:pPr>
    </w:p>
    <w:p w14:paraId="5C7F0D06" w14:textId="77777777" w:rsidR="00C23121" w:rsidRDefault="00C23121" w:rsidP="00C23121">
      <w:pPr>
        <w:spacing w:line="310" w:lineRule="exact"/>
      </w:pPr>
    </w:p>
    <w:p w14:paraId="1A539611" w14:textId="77777777" w:rsidR="00C23121" w:rsidRPr="00827440" w:rsidRDefault="00C23121" w:rsidP="00C23121">
      <w:pPr>
        <w:spacing w:line="131" w:lineRule="exact"/>
        <w:rPr>
          <w:sz w:val="20"/>
        </w:rPr>
      </w:pPr>
    </w:p>
    <w:p w14:paraId="13B0CAEB" w14:textId="078DB31B" w:rsidR="00C23121" w:rsidRPr="00827440" w:rsidRDefault="008233F3" w:rsidP="00F16BCC">
      <w:pPr>
        <w:spacing w:line="254" w:lineRule="auto"/>
        <w:jc w:val="center"/>
        <w:rPr>
          <w:rFonts w:ascii="Arial" w:eastAsia="Arial" w:hAnsi="Arial"/>
          <w:b/>
          <w:color w:val="FB6321"/>
          <w:sz w:val="44"/>
        </w:rPr>
      </w:pPr>
      <w:r>
        <w:rPr>
          <w:rFonts w:ascii="Arial" w:eastAsia="Arial" w:hAnsi="Arial"/>
          <w:b/>
          <w:color w:val="FB6321"/>
          <w:sz w:val="44"/>
        </w:rPr>
        <w:t>Zmena systému odmeňovania zamestnancov pri výkone práce vo verejnom záujme</w:t>
      </w:r>
      <w:r w:rsidR="00F16BCC">
        <w:rPr>
          <w:rFonts w:ascii="Arial" w:eastAsia="Arial" w:hAnsi="Arial"/>
          <w:b/>
          <w:color w:val="FB6321"/>
          <w:sz w:val="44"/>
        </w:rPr>
        <w:t xml:space="preserve"> </w:t>
      </w:r>
    </w:p>
    <w:p w14:paraId="00654A74" w14:textId="77777777" w:rsidR="00C23121" w:rsidRDefault="00C23121" w:rsidP="00C23121">
      <w:pPr>
        <w:spacing w:line="200" w:lineRule="exact"/>
      </w:pPr>
    </w:p>
    <w:p w14:paraId="3933DBC1" w14:textId="77777777" w:rsidR="00C23121" w:rsidRDefault="00C23121" w:rsidP="00C23121">
      <w:pPr>
        <w:spacing w:line="200" w:lineRule="exact"/>
      </w:pPr>
    </w:p>
    <w:p w14:paraId="2CAE4443" w14:textId="77777777" w:rsidR="008233F3" w:rsidRDefault="008233F3" w:rsidP="00C23121">
      <w:pPr>
        <w:spacing w:line="200" w:lineRule="exact"/>
      </w:pPr>
    </w:p>
    <w:p w14:paraId="15824BBD" w14:textId="77777777" w:rsidR="00C23121" w:rsidRDefault="00C23121" w:rsidP="00C23121">
      <w:pPr>
        <w:spacing w:line="200" w:lineRule="exact"/>
      </w:pPr>
    </w:p>
    <w:p w14:paraId="42A05638" w14:textId="77777777" w:rsidR="00C23121" w:rsidRDefault="00C23121" w:rsidP="00C23121">
      <w:pPr>
        <w:spacing w:line="200" w:lineRule="exact"/>
      </w:pPr>
    </w:p>
    <w:p w14:paraId="1C1883E7" w14:textId="77777777" w:rsidR="00C23121" w:rsidRDefault="00C23121" w:rsidP="00C23121">
      <w:pPr>
        <w:spacing w:line="200" w:lineRule="exact"/>
      </w:pPr>
    </w:p>
    <w:p w14:paraId="2531D060" w14:textId="77777777" w:rsidR="0032320C" w:rsidRDefault="0032320C" w:rsidP="00C23121">
      <w:pPr>
        <w:spacing w:line="200" w:lineRule="exact"/>
      </w:pPr>
    </w:p>
    <w:p w14:paraId="0313C813" w14:textId="77777777" w:rsidR="0032320C" w:rsidRDefault="0032320C" w:rsidP="00C23121">
      <w:pPr>
        <w:spacing w:line="200" w:lineRule="exact"/>
      </w:pPr>
    </w:p>
    <w:p w14:paraId="28EF222C" w14:textId="77777777" w:rsidR="0032320C" w:rsidRDefault="0032320C" w:rsidP="00C23121">
      <w:pPr>
        <w:spacing w:line="200" w:lineRule="exact"/>
      </w:pPr>
    </w:p>
    <w:p w14:paraId="78FEBE56" w14:textId="77777777" w:rsidR="0032320C" w:rsidRDefault="0032320C" w:rsidP="00C23121">
      <w:pPr>
        <w:spacing w:line="200" w:lineRule="exact"/>
      </w:pPr>
    </w:p>
    <w:p w14:paraId="58ED2E63" w14:textId="77777777" w:rsidR="0032320C" w:rsidRDefault="0032320C" w:rsidP="00C23121">
      <w:pPr>
        <w:spacing w:line="200" w:lineRule="exact"/>
      </w:pPr>
    </w:p>
    <w:p w14:paraId="1E198161" w14:textId="77777777" w:rsidR="0032320C" w:rsidRDefault="0032320C" w:rsidP="00C23121">
      <w:pPr>
        <w:spacing w:line="200" w:lineRule="exact"/>
      </w:pPr>
    </w:p>
    <w:p w14:paraId="5FD8DD9B" w14:textId="77777777" w:rsidR="0032320C" w:rsidRDefault="0032320C" w:rsidP="00C23121">
      <w:pPr>
        <w:spacing w:line="200" w:lineRule="exact"/>
      </w:pPr>
    </w:p>
    <w:p w14:paraId="1DBA6099" w14:textId="77777777" w:rsidR="0032320C" w:rsidRDefault="0032320C" w:rsidP="00C23121">
      <w:pPr>
        <w:spacing w:line="200" w:lineRule="exact"/>
      </w:pPr>
    </w:p>
    <w:p w14:paraId="12188688" w14:textId="77777777" w:rsidR="0032320C" w:rsidRDefault="0032320C" w:rsidP="00C23121">
      <w:pPr>
        <w:spacing w:line="200" w:lineRule="exact"/>
      </w:pPr>
    </w:p>
    <w:p w14:paraId="7388FB6C" w14:textId="77777777" w:rsidR="00C23121" w:rsidRDefault="00C23121" w:rsidP="00C23121">
      <w:pPr>
        <w:spacing w:line="307" w:lineRule="exact"/>
      </w:pPr>
    </w:p>
    <w:p w14:paraId="621CD8CA" w14:textId="77777777" w:rsidR="0032320C" w:rsidRDefault="0032320C" w:rsidP="00C23121">
      <w:pPr>
        <w:spacing w:line="307" w:lineRule="exact"/>
      </w:pPr>
    </w:p>
    <w:p w14:paraId="07B5B040" w14:textId="77777777" w:rsidR="0032320C" w:rsidRDefault="0032320C" w:rsidP="00C23121">
      <w:pPr>
        <w:spacing w:line="307" w:lineRule="exact"/>
      </w:pPr>
    </w:p>
    <w:p w14:paraId="1A5F4114" w14:textId="08CDB33B" w:rsidR="000C2157" w:rsidRDefault="00A81AB0" w:rsidP="001A4AC6">
      <w:pPr>
        <w:pStyle w:val="Bezriadkovania"/>
        <w:jc w:val="center"/>
        <w:rPr>
          <w:b/>
        </w:rPr>
      </w:pPr>
      <w:r w:rsidRPr="006803C8">
        <w:rPr>
          <w:b/>
        </w:rPr>
        <w:lastRenderedPageBreak/>
        <w:t xml:space="preserve"> ZMEN</w:t>
      </w:r>
      <w:r w:rsidR="0032320C">
        <w:rPr>
          <w:b/>
        </w:rPr>
        <w:t>A</w:t>
      </w:r>
      <w:r w:rsidRPr="006803C8">
        <w:rPr>
          <w:b/>
        </w:rPr>
        <w:t xml:space="preserve"> ODMEŇOVANIA </w:t>
      </w:r>
      <w:r w:rsidR="000B5A3C">
        <w:rPr>
          <w:b/>
        </w:rPr>
        <w:t>VYBRANÝ</w:t>
      </w:r>
      <w:r w:rsidR="0071700B">
        <w:rPr>
          <w:b/>
        </w:rPr>
        <w:t>C</w:t>
      </w:r>
      <w:r w:rsidR="000B5A3C">
        <w:rPr>
          <w:b/>
        </w:rPr>
        <w:t xml:space="preserve">H </w:t>
      </w:r>
      <w:r w:rsidR="0071700B">
        <w:rPr>
          <w:b/>
        </w:rPr>
        <w:t xml:space="preserve">SKUPÍN </w:t>
      </w:r>
      <w:r w:rsidRPr="006803C8">
        <w:rPr>
          <w:b/>
        </w:rPr>
        <w:t xml:space="preserve">ZAMESTNANCOV PRI VÝKONE PRÁCE VO VEREJNOM ZÁUJME </w:t>
      </w:r>
    </w:p>
    <w:p w14:paraId="538531EA" w14:textId="77777777" w:rsidR="0032320C" w:rsidRPr="006803C8" w:rsidRDefault="0032320C" w:rsidP="001A4AC6">
      <w:pPr>
        <w:pStyle w:val="Bezriadkovania"/>
        <w:jc w:val="center"/>
        <w:rPr>
          <w:b/>
        </w:rPr>
      </w:pPr>
    </w:p>
    <w:p w14:paraId="53505BE1" w14:textId="1E6B2B6D" w:rsidR="002A3E79" w:rsidRPr="003A265F" w:rsidRDefault="000B5A3C" w:rsidP="003A265F">
      <w:pPr>
        <w:pStyle w:val="Bezriadkovania"/>
        <w:jc w:val="center"/>
        <w:rPr>
          <w:i/>
          <w:sz w:val="20"/>
          <w:szCs w:val="20"/>
        </w:rPr>
      </w:pPr>
      <w:r w:rsidRPr="003A265F">
        <w:rPr>
          <w:i/>
          <w:sz w:val="20"/>
          <w:szCs w:val="20"/>
        </w:rPr>
        <w:t>(</w:t>
      </w:r>
      <w:r w:rsidR="0071700B">
        <w:rPr>
          <w:i/>
          <w:sz w:val="20"/>
          <w:szCs w:val="20"/>
        </w:rPr>
        <w:t xml:space="preserve">podľa návrhu </w:t>
      </w:r>
      <w:r w:rsidR="002F173E">
        <w:rPr>
          <w:i/>
          <w:sz w:val="20"/>
          <w:szCs w:val="20"/>
        </w:rPr>
        <w:t xml:space="preserve">MF SR a </w:t>
      </w:r>
      <w:r w:rsidR="003A265F">
        <w:rPr>
          <w:i/>
          <w:sz w:val="20"/>
          <w:szCs w:val="20"/>
        </w:rPr>
        <w:t>Ú</w:t>
      </w:r>
      <w:r w:rsidR="0071700B">
        <w:rPr>
          <w:i/>
          <w:sz w:val="20"/>
          <w:szCs w:val="20"/>
        </w:rPr>
        <w:t xml:space="preserve">V SR </w:t>
      </w:r>
      <w:r w:rsidR="0032320C">
        <w:rPr>
          <w:i/>
          <w:sz w:val="20"/>
          <w:szCs w:val="20"/>
        </w:rPr>
        <w:t xml:space="preserve"> </w:t>
      </w:r>
      <w:r w:rsidRPr="003A265F">
        <w:rPr>
          <w:i/>
          <w:sz w:val="20"/>
          <w:szCs w:val="20"/>
        </w:rPr>
        <w:t>bez pedagogických a odborných zamestnancov, učiteľov vysokých škôl</w:t>
      </w:r>
      <w:r w:rsidR="0071700B">
        <w:rPr>
          <w:i/>
          <w:sz w:val="20"/>
          <w:szCs w:val="20"/>
        </w:rPr>
        <w:t>, výskumných a vývojových zamestnancov</w:t>
      </w:r>
      <w:r w:rsidRPr="003A265F">
        <w:rPr>
          <w:i/>
          <w:sz w:val="20"/>
          <w:szCs w:val="20"/>
        </w:rPr>
        <w:t xml:space="preserve"> a zamestnancov pri výkone práce vo verejnom záujme v zahraničí)</w:t>
      </w:r>
    </w:p>
    <w:p w14:paraId="4CE1A8BE" w14:textId="77777777" w:rsidR="001A4AC6" w:rsidRDefault="001A4AC6" w:rsidP="00580351">
      <w:pPr>
        <w:pStyle w:val="Bezriadkovania"/>
      </w:pPr>
    </w:p>
    <w:p w14:paraId="08137158" w14:textId="77777777" w:rsidR="00F16BCC" w:rsidRPr="001A4AC6" w:rsidRDefault="00A81AB0" w:rsidP="00A81AB0">
      <w:pPr>
        <w:pStyle w:val="Bezriadkovania"/>
        <w:jc w:val="center"/>
        <w:rPr>
          <w:b/>
        </w:rPr>
      </w:pPr>
      <w:r w:rsidRPr="00A81AB0">
        <w:rPr>
          <w:b/>
        </w:rPr>
        <w:t>ZHRNUTIE</w:t>
      </w:r>
    </w:p>
    <w:p w14:paraId="6CEFFB28" w14:textId="77777777" w:rsidR="001A4AC6" w:rsidRDefault="001A4AC6" w:rsidP="00580351">
      <w:pPr>
        <w:pStyle w:val="Bezriadkovania"/>
      </w:pPr>
    </w:p>
    <w:p w14:paraId="23575567" w14:textId="77777777" w:rsidR="0032320C" w:rsidRDefault="00236204" w:rsidP="00E75B11">
      <w:pPr>
        <w:jc w:val="both"/>
      </w:pPr>
      <w:r w:rsidRPr="00236204">
        <w:t>Zmena odmeňovania zamestnancov pri výkone práce vo verejnom záujme  predpokladá</w:t>
      </w:r>
      <w:r w:rsidR="0032320C">
        <w:t>:</w:t>
      </w:r>
    </w:p>
    <w:p w14:paraId="2973E92D" w14:textId="77777777" w:rsidR="0032320C" w:rsidRDefault="00236204" w:rsidP="00E75B11">
      <w:pPr>
        <w:jc w:val="both"/>
      </w:pPr>
      <w:r w:rsidRPr="00236204">
        <w:t>(1) zlúčenie existujúcich platový</w:t>
      </w:r>
      <w:r w:rsidR="007858C5">
        <w:t>ch tried do 6 stupňov náročnosti</w:t>
      </w:r>
      <w:r w:rsidRPr="00236204">
        <w:t>,</w:t>
      </w:r>
    </w:p>
    <w:p w14:paraId="1B0E1904" w14:textId="77777777" w:rsidR="0032320C" w:rsidRDefault="00236204" w:rsidP="00E75B11">
      <w:pPr>
        <w:jc w:val="both"/>
      </w:pPr>
      <w:r w:rsidRPr="00236204">
        <w:t xml:space="preserve">(2) zrušenie platových stupňov a </w:t>
      </w:r>
    </w:p>
    <w:p w14:paraId="4D832498" w14:textId="06E27E8E" w:rsidR="00A81AB0" w:rsidRPr="003A265F" w:rsidRDefault="00236204" w:rsidP="00E75B11">
      <w:pPr>
        <w:jc w:val="both"/>
      </w:pPr>
      <w:r w:rsidRPr="00236204">
        <w:t xml:space="preserve">(3) zavedenie zmluvného platu ako súčtu tarifného platu a vybraných príplatkov. </w:t>
      </w:r>
    </w:p>
    <w:p w14:paraId="3B1FA6D2" w14:textId="77777777" w:rsidR="00236204" w:rsidRPr="00236204" w:rsidRDefault="00236204" w:rsidP="00236204">
      <w:pPr>
        <w:pStyle w:val="Bezriadkovania"/>
        <w:jc w:val="both"/>
      </w:pPr>
    </w:p>
    <w:p w14:paraId="484FAAB1" w14:textId="77777777" w:rsidR="00F16BCC" w:rsidRPr="00F16BCC" w:rsidRDefault="00F16BCC" w:rsidP="00EE7684">
      <w:pPr>
        <w:pStyle w:val="Bezriadkovania"/>
        <w:numPr>
          <w:ilvl w:val="0"/>
          <w:numId w:val="10"/>
        </w:numPr>
        <w:jc w:val="both"/>
        <w:rPr>
          <w:b/>
        </w:rPr>
      </w:pPr>
      <w:r>
        <w:rPr>
          <w:b/>
        </w:rPr>
        <w:t>SCENÁR</w:t>
      </w:r>
    </w:p>
    <w:p w14:paraId="3354316D" w14:textId="77777777" w:rsidR="00F16BCC" w:rsidRDefault="00F16BCC" w:rsidP="00EE7684">
      <w:pPr>
        <w:pStyle w:val="Bezriadkovania"/>
        <w:jc w:val="both"/>
      </w:pPr>
    </w:p>
    <w:p w14:paraId="3FF8F65E" w14:textId="474176B7" w:rsidR="00DE5994" w:rsidRDefault="00DE5994" w:rsidP="00EE7684">
      <w:pPr>
        <w:jc w:val="both"/>
      </w:pPr>
      <w:r>
        <w:t>Návrh  je založený na nasledujúcich predpokladoch.</w:t>
      </w:r>
    </w:p>
    <w:p w14:paraId="4D1050D6" w14:textId="77777777" w:rsidR="0028015E" w:rsidRDefault="0028015E" w:rsidP="00EE7684">
      <w:pPr>
        <w:jc w:val="both"/>
      </w:pPr>
      <w:r>
        <w:t>1. Návrh platu vychádza zo Zákonníka práce.</w:t>
      </w:r>
    </w:p>
    <w:p w14:paraId="05F9EFAC" w14:textId="77777777" w:rsidR="00DE5994" w:rsidRDefault="0028015E" w:rsidP="00EE7684">
      <w:pPr>
        <w:jc w:val="both"/>
      </w:pPr>
      <w:r>
        <w:t>2</w:t>
      </w:r>
      <w:r w:rsidR="00DE5994">
        <w:t>. Plat zahŕňa nasledujúce zložky:</w:t>
      </w:r>
    </w:p>
    <w:p w14:paraId="606C495D" w14:textId="7C7FC173" w:rsidR="00591A8F" w:rsidRDefault="00DE5994" w:rsidP="00EE7684">
      <w:pPr>
        <w:pStyle w:val="Odsekzoznamu"/>
        <w:numPr>
          <w:ilvl w:val="0"/>
          <w:numId w:val="12"/>
        </w:numPr>
        <w:jc w:val="both"/>
      </w:pPr>
      <w:r>
        <w:t xml:space="preserve">zmluvný plat (súčasný tarifný plat + </w:t>
      </w:r>
      <w:r w:rsidR="008D2D8E">
        <w:t xml:space="preserve">vybrané </w:t>
      </w:r>
      <w:r>
        <w:t>príplatky)</w:t>
      </w:r>
    </w:p>
    <w:p w14:paraId="3547513F" w14:textId="797866A2" w:rsidR="00591A8F" w:rsidRDefault="00DE5994" w:rsidP="00EE7684">
      <w:pPr>
        <w:pStyle w:val="Odsekzoznamu"/>
        <w:numPr>
          <w:ilvl w:val="0"/>
          <w:numId w:val="12"/>
        </w:numPr>
        <w:jc w:val="both"/>
      </w:pPr>
      <w:r>
        <w:t>nárokové zložky platu (v súlade so Zákonníkom práce)</w:t>
      </w:r>
      <w:r w:rsidR="00A13889">
        <w:t xml:space="preserve"> a príplatok za riadenie</w:t>
      </w:r>
      <w:r w:rsidR="008D2D8E">
        <w:t xml:space="preserve"> a zastupovanie</w:t>
      </w:r>
      <w:r w:rsidR="007B7F4E">
        <w:t xml:space="preserve"> podľa zákona č. 553/2003</w:t>
      </w:r>
      <w:r w:rsidR="00032437">
        <w:t xml:space="preserve"> Z. z.</w:t>
      </w:r>
      <w:r w:rsidR="0032320C">
        <w:t xml:space="preserve"> o odmeňovaní niektorých zamestnancov pri výkone práce vo verejnom záujme a o zmene a doplnení niektorých zákonov v znení neskorších predpisov</w:t>
      </w:r>
    </w:p>
    <w:p w14:paraId="0C04BD46" w14:textId="12045A59" w:rsidR="00DE5994" w:rsidRDefault="00A04434" w:rsidP="00EE7684">
      <w:pPr>
        <w:pStyle w:val="Odsekzoznamu"/>
        <w:numPr>
          <w:ilvl w:val="0"/>
          <w:numId w:val="12"/>
        </w:numPr>
        <w:jc w:val="both"/>
      </w:pPr>
      <w:r>
        <w:t>výkonnostn</w:t>
      </w:r>
      <w:r w:rsidR="0071700B">
        <w:t xml:space="preserve">é odmeny (t. č. zadefinované ako </w:t>
      </w:r>
      <w:r w:rsidR="00F5260B">
        <w:t>príplatok §14a) a</w:t>
      </w:r>
      <w:r>
        <w:t xml:space="preserve"> odmeny</w:t>
      </w:r>
    </w:p>
    <w:p w14:paraId="2CDDE2AC" w14:textId="77777777" w:rsidR="00A04434" w:rsidRDefault="0028015E" w:rsidP="00EE7684">
      <w:pPr>
        <w:jc w:val="both"/>
      </w:pPr>
      <w:r>
        <w:t>3</w:t>
      </w:r>
      <w:r w:rsidR="00A04434">
        <w:t xml:space="preserve">. Zamestnávateľ je povinný zamestnancovi poskytnúť zmluvný plat, a to najmenej v sume minimálneho mzdového nároku určeného pre </w:t>
      </w:r>
      <w:r w:rsidR="00440D20">
        <w:t xml:space="preserve">daný </w:t>
      </w:r>
      <w:r w:rsidR="00A04434">
        <w:t>stupeň náročnosti práce (Tabuľka 1).</w:t>
      </w:r>
    </w:p>
    <w:p w14:paraId="574DBBD2" w14:textId="3A85AC34" w:rsidR="00A04434" w:rsidRDefault="0028015E" w:rsidP="00EE7684">
      <w:pPr>
        <w:jc w:val="both"/>
      </w:pPr>
      <w:r>
        <w:t>4</w:t>
      </w:r>
      <w:r w:rsidR="00A04434">
        <w:t>. Návrh počíta so zlučovaním existujúcich platových tried do 6 stupňov náročnosti.</w:t>
      </w:r>
      <w:r w:rsidR="00A13889">
        <w:t xml:space="preserve"> Horná hranica rozpätia jednotlivých stupňov náročnosti práce (dvojnásobok dolnej hranice) kopíruje súčasnú možnosť priznania osobného príplatku do výšky 100% najvyššieho platového stupňa príslušnej platovej triedy v mierne pozmenenej podobe, </w:t>
      </w:r>
      <w:r w:rsidR="00440D20">
        <w:t>teda</w:t>
      </w:r>
      <w:r w:rsidR="00A13889">
        <w:t xml:space="preserve"> 100% z dolnej hranice. V absolútnom vyjadrení je toto rozpätie väčšie ako umožňuje súčasne platná právna norma</w:t>
      </w:r>
      <w:r w:rsidR="00CA32BC">
        <w:t xml:space="preserve"> základnej stupnice platových taríf, podľa ktorej je odmeňovaná väčšina zamestnancov</w:t>
      </w:r>
      <w:r w:rsidR="00A13889">
        <w:t>.</w:t>
      </w:r>
    </w:p>
    <w:p w14:paraId="5C2B513C" w14:textId="1B064984" w:rsidR="00DE5994" w:rsidRDefault="0028015E" w:rsidP="00EE7684">
      <w:pPr>
        <w:jc w:val="both"/>
      </w:pPr>
      <w:r>
        <w:t>5</w:t>
      </w:r>
      <w:r w:rsidR="00DE5994">
        <w:t xml:space="preserve">. Návrh ruší platové stupne. </w:t>
      </w:r>
    </w:p>
    <w:p w14:paraId="7CCD6938" w14:textId="6E19CE30" w:rsidR="009E513F" w:rsidRDefault="009E513F" w:rsidP="00EE7684">
      <w:pPr>
        <w:jc w:val="both"/>
      </w:pPr>
      <w:r>
        <w:t>6. Navrhuje sa zachovať aj naďalej možnosť priznávania osobného platu.</w:t>
      </w:r>
    </w:p>
    <w:p w14:paraId="04D864DC" w14:textId="4CEB946A" w:rsidR="00DE5994" w:rsidRDefault="009E513F" w:rsidP="00EE7684">
      <w:pPr>
        <w:jc w:val="both"/>
      </w:pPr>
      <w:r>
        <w:t>7.</w:t>
      </w:r>
      <w:r w:rsidR="00DE5994">
        <w:t xml:space="preserve"> Výkonnostné</w:t>
      </w:r>
      <w:r w:rsidR="00CA32BC">
        <w:t xml:space="preserve"> príplatky a</w:t>
      </w:r>
      <w:r w:rsidR="00DE5994">
        <w:t xml:space="preserve"> odmeny nad rámec zmluvného platu majú mať motivačný charakter</w:t>
      </w:r>
      <w:r w:rsidR="00A04434">
        <w:t xml:space="preserve">. Ich výška (1) bude závisieť od zdrojových možností organizácie a (2) bude sa určovať „na základe objektívneho hodnotenia, a to nielen priamym nadriadeným, ale aj kolektívom, prípadne inými útvarmi v rámci organizácie, osobným vývojom, plnením úloh, termínov, cieľov, a pod.“. </w:t>
      </w:r>
    </w:p>
    <w:p w14:paraId="7CA1FB46" w14:textId="45E9250B" w:rsidR="00F7300F" w:rsidRDefault="009E513F" w:rsidP="00EE7684">
      <w:pPr>
        <w:jc w:val="both"/>
      </w:pPr>
      <w:r>
        <w:t>8.</w:t>
      </w:r>
      <w:r w:rsidR="00F7300F">
        <w:t xml:space="preserve"> </w:t>
      </w:r>
      <w:r w:rsidR="00CA32BC">
        <w:t>Po nado</w:t>
      </w:r>
      <w:r>
        <w:t>budnutí účinnosti nového zákona</w:t>
      </w:r>
      <w:r w:rsidR="00EE174B">
        <w:t xml:space="preserve"> návrh</w:t>
      </w:r>
      <w:r>
        <w:t xml:space="preserve"> </w:t>
      </w:r>
      <w:r w:rsidR="00CA32BC">
        <w:t xml:space="preserve">v ďalších rokoch </w:t>
      </w:r>
      <w:r w:rsidR="00A13889">
        <w:t>nepočíta s automatickým naviazaním odmeňovania na minimálnu mzdu</w:t>
      </w:r>
      <w:r w:rsidR="00922E02">
        <w:t>. M</w:t>
      </w:r>
      <w:r>
        <w:t xml:space="preserve">edziročné zvyšovanie stupňov by bolo realizované </w:t>
      </w:r>
      <w:r w:rsidR="00F7300F">
        <w:t>formou kolektívneho vyjednávania</w:t>
      </w:r>
      <w:r>
        <w:t>, v závislosti od zdrojov štátneho, resp. verejného rozpočtu, s možnosťou zohľadnenia minimálnej mzdy.</w:t>
      </w:r>
    </w:p>
    <w:p w14:paraId="6D31A4D6" w14:textId="38F41119" w:rsidR="00A13889" w:rsidRDefault="009E513F" w:rsidP="00EE7684">
      <w:pPr>
        <w:jc w:val="both"/>
      </w:pPr>
      <w:r>
        <w:lastRenderedPageBreak/>
        <w:t>9.</w:t>
      </w:r>
      <w:r w:rsidR="00A13889">
        <w:t xml:space="preserve"> </w:t>
      </w:r>
      <w:r w:rsidR="0032320C">
        <w:t>P</w:t>
      </w:r>
      <w:r w:rsidR="00A13889">
        <w:t>redpokladá</w:t>
      </w:r>
      <w:r w:rsidR="0032320C">
        <w:t xml:space="preserve"> sa</w:t>
      </w:r>
      <w:r w:rsidR="00A13889">
        <w:t xml:space="preserve">, že zmluvný </w:t>
      </w:r>
      <w:r w:rsidR="00A13889" w:rsidRPr="00E152AF">
        <w:t>plat</w:t>
      </w:r>
      <w:r w:rsidR="00A13889">
        <w:t xml:space="preserve"> </w:t>
      </w:r>
      <w:r w:rsidR="00E152AF">
        <w:t xml:space="preserve">na </w:t>
      </w:r>
      <w:r w:rsidR="00A13889">
        <w:t>úrovni súčasného funkčného platu (zníženého o riadiaci príplatok</w:t>
      </w:r>
      <w:r w:rsidR="00E11A42">
        <w:t>, príplatok za zastupovanie</w:t>
      </w:r>
      <w:r w:rsidR="00E152AF">
        <w:t>, výkonnostný príplatok</w:t>
      </w:r>
      <w:r w:rsidR="00A13889">
        <w:t>)</w:t>
      </w:r>
      <w:r w:rsidR="00F7300F">
        <w:t xml:space="preserve"> bude</w:t>
      </w:r>
      <w:r w:rsidR="00A6502A">
        <w:t xml:space="preserve"> u väčšiny zamestnancov</w:t>
      </w:r>
      <w:r w:rsidR="00F7300F">
        <w:t xml:space="preserve"> vyšší ako navrhovaná dolná hranica zmluvného platu. </w:t>
      </w:r>
    </w:p>
    <w:p w14:paraId="248DA20D" w14:textId="5B5424B9" w:rsidR="00782891" w:rsidRDefault="00123DCA" w:rsidP="00580351">
      <w:pPr>
        <w:pStyle w:val="Bezriadkovania"/>
      </w:pPr>
      <w:r>
        <w:t>T</w:t>
      </w:r>
      <w:r w:rsidR="00782891">
        <w:t xml:space="preserve">abuľka </w:t>
      </w:r>
      <w:fldSimple w:instr=" SEQ Tabuľka \* ARABIC ">
        <w:r w:rsidR="0032320C">
          <w:rPr>
            <w:noProof/>
          </w:rPr>
          <w:t>1</w:t>
        </w:r>
      </w:fldSimple>
      <w:r w:rsidR="00782891">
        <w:t>: Návrh zmeny odmeňovania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9"/>
        <w:gridCol w:w="772"/>
        <w:gridCol w:w="772"/>
        <w:gridCol w:w="772"/>
        <w:gridCol w:w="772"/>
        <w:gridCol w:w="881"/>
        <w:gridCol w:w="772"/>
      </w:tblGrid>
      <w:tr w:rsidR="00782891" w:rsidRPr="00782891" w14:paraId="3FD2DF70" w14:textId="77777777" w:rsidTr="00782891">
        <w:trPr>
          <w:trHeight w:val="300"/>
        </w:trPr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D62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                                                         </w:t>
            </w:r>
            <w:r w:rsidRPr="0078289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Stupeň náročnosti</w:t>
            </w:r>
          </w:p>
        </w:tc>
      </w:tr>
      <w:tr w:rsidR="00782891" w:rsidRPr="00782891" w14:paraId="025EC941" w14:textId="77777777" w:rsidTr="00782891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8AD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B849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E47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7C1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86A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510E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8EA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782891" w:rsidRPr="00782891" w14:paraId="04353A30" w14:textId="77777777" w:rsidTr="00782891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9D7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Koeficient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B91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575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4884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413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F26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8A8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782891" w:rsidRPr="00782891" w14:paraId="24FA525E" w14:textId="77777777" w:rsidTr="00782891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5FF29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Dolná hranica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A7274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5AC92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A547A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79479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7E316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FAA04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1000</w:t>
            </w:r>
          </w:p>
        </w:tc>
      </w:tr>
      <w:tr w:rsidR="00782891" w:rsidRPr="00782891" w14:paraId="58892A5A" w14:textId="77777777" w:rsidTr="00782891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69DBE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Horná hranica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E4156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D6CBC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16919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9C736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1600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C485F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1319C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2000</w:t>
            </w:r>
          </w:p>
        </w:tc>
      </w:tr>
      <w:tr w:rsidR="00782891" w:rsidRPr="00782891" w14:paraId="7EC49572" w14:textId="77777777" w:rsidTr="00782891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221" w14:textId="77777777" w:rsidR="00782891" w:rsidRPr="00782891" w:rsidRDefault="00782891" w:rsidP="00580351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Súčasná platová trieda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0E2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1-2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771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3-4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84F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5-8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4B9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9-11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59F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12-13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B7C" w14:textId="77777777" w:rsidR="00782891" w:rsidRPr="00782891" w:rsidRDefault="00782891" w:rsidP="00A21435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91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</w:tr>
    </w:tbl>
    <w:p w14:paraId="4611BD26" w14:textId="77777777" w:rsidR="0032320C" w:rsidRDefault="0032320C" w:rsidP="00580351">
      <w:pPr>
        <w:pStyle w:val="Bezriadkovania"/>
      </w:pPr>
    </w:p>
    <w:p w14:paraId="3FC9B152" w14:textId="77777777" w:rsidR="001D0E96" w:rsidRDefault="001D0E96" w:rsidP="00580351">
      <w:pPr>
        <w:pStyle w:val="Bezriadkovania"/>
      </w:pPr>
    </w:p>
    <w:p w14:paraId="37A46DDB" w14:textId="77777777" w:rsidR="00A13889" w:rsidRDefault="00F16BCC" w:rsidP="00F16BCC">
      <w:pPr>
        <w:pStyle w:val="Bezriadkovania"/>
        <w:numPr>
          <w:ilvl w:val="0"/>
          <w:numId w:val="10"/>
        </w:numPr>
        <w:rPr>
          <w:b/>
        </w:rPr>
      </w:pPr>
      <w:r w:rsidRPr="006803C8">
        <w:rPr>
          <w:b/>
        </w:rPr>
        <w:t>ÚDAJE</w:t>
      </w:r>
    </w:p>
    <w:p w14:paraId="3A1746F2" w14:textId="77777777" w:rsidR="00F16BCC" w:rsidRPr="006803C8" w:rsidRDefault="00F16BCC" w:rsidP="00580351">
      <w:pPr>
        <w:pStyle w:val="Bezriadkovania"/>
        <w:rPr>
          <w:b/>
        </w:rPr>
      </w:pPr>
    </w:p>
    <w:p w14:paraId="2A098A55" w14:textId="6B407E55" w:rsidR="00213961" w:rsidRDefault="00213961" w:rsidP="00EE7684">
      <w:pPr>
        <w:jc w:val="both"/>
      </w:pPr>
      <w:r>
        <w:t xml:space="preserve">1. </w:t>
      </w:r>
      <w:r w:rsidR="00324341">
        <w:t xml:space="preserve">Údaje o počte zamestnancov odmeňovaných podľa zákona č. 553/2003 </w:t>
      </w:r>
      <w:r w:rsidR="00032437">
        <w:t xml:space="preserve">Z. z. </w:t>
      </w:r>
      <w:r w:rsidR="007614D4">
        <w:t xml:space="preserve">v kapitolách štátneho rozpočtu vrátane verejných vysokých škôl </w:t>
      </w:r>
      <w:r w:rsidR="00324341">
        <w:t>pochádzajú</w:t>
      </w:r>
      <w:r w:rsidR="00F422D7">
        <w:t xml:space="preserve"> z Platovej inventúry </w:t>
      </w:r>
      <w:r w:rsidR="00F422D7" w:rsidRPr="005D38BB">
        <w:t>k 1.</w:t>
      </w:r>
      <w:r w:rsidR="00F422D7">
        <w:t xml:space="preserve"> januáru </w:t>
      </w:r>
      <w:r w:rsidR="00F422D7" w:rsidRPr="005D38BB">
        <w:t>2016 (Ministerstvo financií 2016)</w:t>
      </w:r>
      <w:r w:rsidR="00F422D7">
        <w:t>, údaje za samosprávu z</w:t>
      </w:r>
      <w:r w:rsidR="00324341">
        <w:t> prieskumu o počte týchto zamestnancov v jednotlivých platových triedach a platových stupňoch (Inštitút pre stratégie a analýzy 2017).</w:t>
      </w:r>
    </w:p>
    <w:p w14:paraId="4B0C9F3E" w14:textId="2EB47030" w:rsidR="00324341" w:rsidRPr="00B150E8" w:rsidRDefault="00324341" w:rsidP="00EE7684">
      <w:pPr>
        <w:jc w:val="both"/>
        <w:rPr>
          <w:color w:val="FF0000"/>
        </w:rPr>
      </w:pPr>
      <w:r w:rsidRPr="00B150E8">
        <w:rPr>
          <w:color w:val="FF0000"/>
        </w:rPr>
        <w:t xml:space="preserve">2. </w:t>
      </w:r>
      <w:r w:rsidR="001430ED" w:rsidRPr="00B150E8">
        <w:rPr>
          <w:color w:val="FF0000"/>
        </w:rPr>
        <w:t>Materiál</w:t>
      </w:r>
      <w:r w:rsidRPr="00B150E8">
        <w:rPr>
          <w:color w:val="FF0000"/>
        </w:rPr>
        <w:t xml:space="preserve"> sa týka zhruba 134 tisíc zamestnancov odmeňovaných podľa základnej stupnice, osobitnej stupnice vybraných skupín zamestnancov a osobitnej stupnice platových taríf výskumných a vývojových zamestnancov a zdravotníckych zamestnancov.</w:t>
      </w:r>
    </w:p>
    <w:p w14:paraId="3E45E87D" w14:textId="5FE05098" w:rsidR="00213961" w:rsidRDefault="00324341" w:rsidP="00EE7684">
      <w:pPr>
        <w:jc w:val="both"/>
      </w:pPr>
      <w:r>
        <w:t xml:space="preserve">3. Do úvahy sa </w:t>
      </w:r>
      <w:r w:rsidR="000E213B">
        <w:t xml:space="preserve">zatiaľ </w:t>
      </w:r>
      <w:r>
        <w:t>neberú učitelia vysokých škôl, výskumní a vývojoví zamestnanci, ani pedagogickí a odborní zamestnanci, keďže Ministerstvo školstva, vedy, výskumu a športu SR má záujem upraviť ich odmeňovanie v osobitnom právnom predpise.</w:t>
      </w:r>
      <w:r w:rsidR="0071700B">
        <w:t xml:space="preserve"> Súčasne návrh zmeny systému odmeňovania </w:t>
      </w:r>
      <w:r w:rsidR="000E213B">
        <w:t xml:space="preserve">zatiaľ </w:t>
      </w:r>
      <w:r w:rsidR="0071700B">
        <w:t>nepočíta so zmenou pre zamestnancov pri výkone práce vo verejnom záujme v</w:t>
      </w:r>
      <w:r w:rsidR="000E213B">
        <w:t> </w:t>
      </w:r>
      <w:r w:rsidR="0071700B">
        <w:t>zahraničí</w:t>
      </w:r>
      <w:r w:rsidR="000E213B">
        <w:t xml:space="preserve"> (prebiehajú </w:t>
      </w:r>
      <w:r w:rsidR="00721B17">
        <w:t xml:space="preserve">v súčasnosti </w:t>
      </w:r>
      <w:r w:rsidR="000E213B">
        <w:t>rokovania)</w:t>
      </w:r>
      <w:r w:rsidR="0071700B">
        <w:t>.</w:t>
      </w:r>
    </w:p>
    <w:p w14:paraId="1AF4CA85" w14:textId="3CB719F0" w:rsidR="00324341" w:rsidRDefault="00324341" w:rsidP="00EE7684">
      <w:pPr>
        <w:jc w:val="both"/>
      </w:pPr>
      <w:r>
        <w:t xml:space="preserve">4. Minimálna mzda </w:t>
      </w:r>
      <w:r w:rsidR="0030291F">
        <w:t>sa odhaduje na úrov</w:t>
      </w:r>
      <w:r w:rsidR="00B36FD6">
        <w:t>ni</w:t>
      </w:r>
      <w:r>
        <w:t xml:space="preserve"> 500 eur.</w:t>
      </w:r>
    </w:p>
    <w:p w14:paraId="3C0A1241" w14:textId="77777777" w:rsidR="00324341" w:rsidRDefault="00324341" w:rsidP="00EE7684">
      <w:pPr>
        <w:jc w:val="both"/>
      </w:pPr>
      <w:r>
        <w:t>5. Nezdaniteľná časť základu dane je 319,17 eur.</w:t>
      </w:r>
    </w:p>
    <w:p w14:paraId="696B1B75" w14:textId="711C13D1" w:rsidR="00324341" w:rsidRPr="00A00CF4" w:rsidRDefault="00324341" w:rsidP="00EE7684">
      <w:pPr>
        <w:jc w:val="both"/>
        <w:rPr>
          <w:color w:val="FF0000"/>
        </w:rPr>
      </w:pPr>
      <w:r w:rsidRPr="00A00CF4">
        <w:rPr>
          <w:color w:val="FF0000"/>
        </w:rPr>
        <w:t>6. V roku 2018 sa uskutoční valorizácia platov vo verejnej správe o</w:t>
      </w:r>
      <w:r w:rsidR="00F422D7" w:rsidRPr="00A00CF4">
        <w:rPr>
          <w:color w:val="FF0000"/>
        </w:rPr>
        <w:t> </w:t>
      </w:r>
      <w:r w:rsidRPr="00A00CF4">
        <w:rPr>
          <w:color w:val="FF0000"/>
        </w:rPr>
        <w:t>4</w:t>
      </w:r>
      <w:r w:rsidR="00F422D7" w:rsidRPr="00A00CF4">
        <w:rPr>
          <w:color w:val="FF0000"/>
        </w:rPr>
        <w:t>,8</w:t>
      </w:r>
      <w:r w:rsidRPr="00A00CF4">
        <w:rPr>
          <w:color w:val="FF0000"/>
        </w:rPr>
        <w:t>%.</w:t>
      </w:r>
    </w:p>
    <w:p w14:paraId="4D093B28" w14:textId="22ACF739" w:rsidR="00324341" w:rsidRDefault="00324341" w:rsidP="00EE7684">
      <w:pPr>
        <w:jc w:val="both"/>
      </w:pPr>
      <w:r>
        <w:t xml:space="preserve">7. </w:t>
      </w:r>
      <w:r w:rsidR="00F422D7">
        <w:t>Predpokladá sa, že n</w:t>
      </w:r>
      <w:r>
        <w:t xml:space="preserve">avýšenie platových taríf bude mať </w:t>
      </w:r>
      <w:r w:rsidR="00F422D7">
        <w:t xml:space="preserve">nulový </w:t>
      </w:r>
      <w:r>
        <w:t>dopad na zamestnanosť.</w:t>
      </w:r>
    </w:p>
    <w:p w14:paraId="762F5DB2" w14:textId="4D9E7392" w:rsidR="00324341" w:rsidRDefault="00324341" w:rsidP="00E75B11">
      <w:pPr>
        <w:jc w:val="both"/>
      </w:pPr>
      <w:r>
        <w:t xml:space="preserve">8. Nikto nemôže v novom systéme odmeňovania zarábať menej, ako zarábal doteraz. </w:t>
      </w:r>
      <w:r w:rsidRPr="00B3046F">
        <w:t xml:space="preserve">Ak </w:t>
      </w:r>
      <w:r w:rsidR="00B36FD6">
        <w:t xml:space="preserve">by </w:t>
      </w:r>
      <w:r w:rsidR="00F422D7" w:rsidRPr="00B3046F">
        <w:rPr>
          <w:rFonts w:ascii="Segoe UI" w:hAnsi="Segoe UI" w:cs="Segoe UI"/>
          <w:color w:val="000000"/>
          <w:sz w:val="20"/>
          <w:szCs w:val="20"/>
        </w:rPr>
        <w:t>súčasn</w:t>
      </w:r>
      <w:r w:rsidR="00B36FD6">
        <w:rPr>
          <w:rFonts w:ascii="Segoe UI" w:hAnsi="Segoe UI" w:cs="Segoe UI"/>
          <w:color w:val="000000"/>
          <w:sz w:val="20"/>
          <w:szCs w:val="20"/>
        </w:rPr>
        <w:t xml:space="preserve">ý </w:t>
      </w:r>
      <w:r w:rsidR="00B36FD6" w:rsidRPr="00B3046F">
        <w:rPr>
          <w:rFonts w:ascii="Segoe UI" w:hAnsi="Segoe UI" w:cs="Segoe UI"/>
          <w:color w:val="000000"/>
          <w:sz w:val="20"/>
          <w:szCs w:val="20"/>
        </w:rPr>
        <w:t>funkčn</w:t>
      </w:r>
      <w:r w:rsidR="00B36FD6">
        <w:rPr>
          <w:rFonts w:ascii="Segoe UI" w:hAnsi="Segoe UI" w:cs="Segoe UI"/>
          <w:color w:val="000000"/>
          <w:sz w:val="20"/>
          <w:szCs w:val="20"/>
        </w:rPr>
        <w:t xml:space="preserve">ý </w:t>
      </w:r>
      <w:r w:rsidR="00F422D7" w:rsidRPr="00B3046F">
        <w:rPr>
          <w:rFonts w:ascii="Segoe UI" w:hAnsi="Segoe UI" w:cs="Segoe UI"/>
          <w:color w:val="000000"/>
          <w:sz w:val="20"/>
          <w:szCs w:val="20"/>
        </w:rPr>
        <w:t xml:space="preserve">plat </w:t>
      </w:r>
      <w:r w:rsidR="00392188" w:rsidRPr="00B3046F">
        <w:rPr>
          <w:rFonts w:ascii="Segoe UI" w:hAnsi="Segoe UI" w:cs="Segoe UI"/>
          <w:color w:val="000000"/>
          <w:sz w:val="20"/>
          <w:szCs w:val="20"/>
        </w:rPr>
        <w:t>(</w:t>
      </w:r>
      <w:r w:rsidR="00F422D7" w:rsidRPr="00B3046F">
        <w:rPr>
          <w:rFonts w:ascii="Segoe UI" w:hAnsi="Segoe UI" w:cs="Segoe UI"/>
          <w:color w:val="000000"/>
          <w:sz w:val="20"/>
          <w:szCs w:val="20"/>
        </w:rPr>
        <w:t>s výnimkou r</w:t>
      </w:r>
      <w:r w:rsidR="00392188" w:rsidRPr="00B3046F">
        <w:rPr>
          <w:rFonts w:ascii="Segoe UI" w:hAnsi="Segoe UI" w:cs="Segoe UI"/>
          <w:color w:val="000000"/>
          <w:sz w:val="20"/>
          <w:szCs w:val="20"/>
        </w:rPr>
        <w:t>iadiaceho príplatku, príplatku za zastupovanie</w:t>
      </w:r>
      <w:r w:rsidR="005B214F" w:rsidRPr="00B3046F">
        <w:rPr>
          <w:rFonts w:ascii="Segoe UI" w:hAnsi="Segoe UI" w:cs="Segoe UI"/>
          <w:color w:val="000000"/>
          <w:sz w:val="20"/>
          <w:szCs w:val="20"/>
        </w:rPr>
        <w:t xml:space="preserve"> a výkonnostného príplatku</w:t>
      </w:r>
      <w:r w:rsidR="00392188" w:rsidRPr="00B3046F">
        <w:rPr>
          <w:rFonts w:ascii="Segoe UI" w:hAnsi="Segoe UI" w:cs="Segoe UI"/>
          <w:color w:val="000000"/>
          <w:sz w:val="20"/>
          <w:szCs w:val="20"/>
        </w:rPr>
        <w:t>)</w:t>
      </w:r>
      <w:r w:rsidR="00B36FD6">
        <w:t xml:space="preserve"> bol vyšší ako horná </w:t>
      </w:r>
      <w:r w:rsidR="00B36FD6" w:rsidRPr="00B3046F">
        <w:t>hranic</w:t>
      </w:r>
      <w:r w:rsidR="00B36FD6">
        <w:t>a</w:t>
      </w:r>
      <w:r w:rsidR="00B36FD6" w:rsidRPr="00B3046F">
        <w:t xml:space="preserve"> </w:t>
      </w:r>
      <w:r w:rsidR="00B36FD6">
        <w:t xml:space="preserve">príslušného stupňa náročnosti, </w:t>
      </w:r>
      <w:r w:rsidRPr="00B3046F">
        <w:t>uvaž</w:t>
      </w:r>
      <w:r w:rsidR="001566BE" w:rsidRPr="00B3046F">
        <w:t>uje</w:t>
      </w:r>
      <w:r w:rsidRPr="00B3046F">
        <w:t xml:space="preserve"> sa s</w:t>
      </w:r>
      <w:r w:rsidR="00B36FD6">
        <w:t> </w:t>
      </w:r>
      <w:r w:rsidRPr="00B3046F">
        <w:t>doplatkom</w:t>
      </w:r>
      <w:r w:rsidR="00B36FD6">
        <w:t xml:space="preserve"> do jeho súčasnej úrovne</w:t>
      </w:r>
      <w:r w:rsidRPr="00B3046F">
        <w:t>.</w:t>
      </w:r>
    </w:p>
    <w:p w14:paraId="122A72A6" w14:textId="50E9639F" w:rsidR="00324341" w:rsidRDefault="00324341" w:rsidP="00E75B11">
      <w:pPr>
        <w:jc w:val="both"/>
      </w:pPr>
      <w:r>
        <w:t xml:space="preserve">9. Zmluvný plat </w:t>
      </w:r>
      <w:r w:rsidR="007614D4">
        <w:t xml:space="preserve"> by bol  zložený z </w:t>
      </w:r>
      <w:r>
        <w:t>tarifného platu a</w:t>
      </w:r>
      <w:r w:rsidR="007614D4">
        <w:t xml:space="preserve"> vybraných </w:t>
      </w:r>
      <w:r>
        <w:t>príplatkov</w:t>
      </w:r>
      <w:r w:rsidR="00E51C3F">
        <w:t xml:space="preserve"> podľa zákona č. 553/2003</w:t>
      </w:r>
      <w:r w:rsidR="00032437">
        <w:t xml:space="preserve"> Z. z.</w:t>
      </w:r>
      <w:r>
        <w:t xml:space="preserve">, konkrétne:  </w:t>
      </w:r>
    </w:p>
    <w:p w14:paraId="017CFCE3" w14:textId="319242E2" w:rsidR="00E27F32" w:rsidRDefault="00E51C3F" w:rsidP="00E75B11">
      <w:pPr>
        <w:pStyle w:val="Odsekzoznamu"/>
        <w:numPr>
          <w:ilvl w:val="0"/>
          <w:numId w:val="13"/>
        </w:numPr>
        <w:jc w:val="both"/>
      </w:pPr>
      <w:r>
        <w:t xml:space="preserve">osobný </w:t>
      </w:r>
      <w:r w:rsidR="0032320C">
        <w:t xml:space="preserve">príplatok </w:t>
      </w:r>
      <w:r>
        <w:t>(§ 10)</w:t>
      </w:r>
    </w:p>
    <w:p w14:paraId="32FE34E2" w14:textId="531C970A" w:rsidR="00E27F32" w:rsidRDefault="0032320C" w:rsidP="00E75B11">
      <w:pPr>
        <w:pStyle w:val="Odsekzoznamu"/>
        <w:numPr>
          <w:ilvl w:val="0"/>
          <w:numId w:val="13"/>
        </w:numPr>
        <w:jc w:val="both"/>
      </w:pPr>
      <w:r>
        <w:t xml:space="preserve">príplatok </w:t>
      </w:r>
      <w:r w:rsidR="00E51C3F">
        <w:t>za prácu v krízovej oblasti (§ 12)</w:t>
      </w:r>
    </w:p>
    <w:p w14:paraId="5D3F8038" w14:textId="0ADB4AA7" w:rsidR="00E27F32" w:rsidRDefault="0032320C" w:rsidP="00E75B11">
      <w:pPr>
        <w:pStyle w:val="Odsekzoznamu"/>
        <w:numPr>
          <w:ilvl w:val="0"/>
          <w:numId w:val="13"/>
        </w:numPr>
        <w:jc w:val="both"/>
      </w:pPr>
      <w:r>
        <w:t xml:space="preserve">príplatok </w:t>
      </w:r>
      <w:r w:rsidR="00E51C3F">
        <w:t>za zmennosť (§ 13)</w:t>
      </w:r>
    </w:p>
    <w:p w14:paraId="30AA1AAA" w14:textId="19CBB15A" w:rsidR="00E27F32" w:rsidRDefault="0032320C" w:rsidP="00E75B11">
      <w:pPr>
        <w:pStyle w:val="Odsekzoznamu"/>
        <w:numPr>
          <w:ilvl w:val="0"/>
          <w:numId w:val="13"/>
        </w:numPr>
        <w:jc w:val="both"/>
      </w:pPr>
      <w:r>
        <w:t xml:space="preserve">príplatok </w:t>
      </w:r>
      <w:r w:rsidR="00E51C3F">
        <w:t>za starostlivosť a vedenie služobného motorového vozidla (§ 14 b)</w:t>
      </w:r>
    </w:p>
    <w:p w14:paraId="50809267" w14:textId="5E6F68C7" w:rsidR="007614D4" w:rsidRDefault="007614D4" w:rsidP="00E75B11">
      <w:pPr>
        <w:pStyle w:val="Odsekzoznamu"/>
        <w:numPr>
          <w:ilvl w:val="0"/>
          <w:numId w:val="13"/>
        </w:numPr>
        <w:jc w:val="both"/>
      </w:pPr>
      <w:r>
        <w:t>platová kompenzácia za sťažený výkon práce (§ 11)</w:t>
      </w:r>
    </w:p>
    <w:p w14:paraId="365F8484" w14:textId="77777777" w:rsidR="0032320C" w:rsidRDefault="0032320C" w:rsidP="0032320C">
      <w:pPr>
        <w:pStyle w:val="Odsekzoznamu"/>
        <w:jc w:val="both"/>
      </w:pPr>
    </w:p>
    <w:p w14:paraId="096B85FC" w14:textId="77777777" w:rsidR="0032320C" w:rsidRDefault="0032320C" w:rsidP="0032320C">
      <w:pPr>
        <w:pStyle w:val="Odsekzoznamu"/>
        <w:jc w:val="both"/>
      </w:pPr>
    </w:p>
    <w:p w14:paraId="5648311A" w14:textId="4C91313A" w:rsidR="00E51C3F" w:rsidRDefault="00E51C3F" w:rsidP="00E75B11">
      <w:pPr>
        <w:jc w:val="both"/>
      </w:pPr>
      <w:r>
        <w:t xml:space="preserve">10. Za nárokové zložky platu </w:t>
      </w:r>
      <w:r w:rsidR="007614D4">
        <w:t xml:space="preserve">by </w:t>
      </w:r>
      <w:r w:rsidR="00C71D5B">
        <w:t xml:space="preserve">sa </w:t>
      </w:r>
      <w:r>
        <w:t xml:space="preserve">považovali nasledovné príplatky: </w:t>
      </w:r>
    </w:p>
    <w:p w14:paraId="07F50C17" w14:textId="77777777" w:rsidR="00E27F32" w:rsidRDefault="00E51C3F" w:rsidP="00E75B11">
      <w:pPr>
        <w:pStyle w:val="Odsekzoznamu"/>
        <w:numPr>
          <w:ilvl w:val="0"/>
          <w:numId w:val="14"/>
        </w:numPr>
        <w:jc w:val="both"/>
      </w:pPr>
      <w:r>
        <w:t xml:space="preserve">za prácu v noci (§ 16) </w:t>
      </w:r>
    </w:p>
    <w:p w14:paraId="5EDD7FE2" w14:textId="77777777" w:rsidR="00F422D7" w:rsidRDefault="00F422D7" w:rsidP="00E75B11">
      <w:pPr>
        <w:pStyle w:val="Odsekzoznamu"/>
        <w:numPr>
          <w:ilvl w:val="0"/>
          <w:numId w:val="14"/>
        </w:numPr>
        <w:jc w:val="both"/>
      </w:pPr>
      <w:r>
        <w:t>za prácu v sobotu alebo v nedeľu (§ 17)</w:t>
      </w:r>
    </w:p>
    <w:p w14:paraId="727FDD69" w14:textId="77777777" w:rsidR="00E27F32" w:rsidRDefault="00E51C3F" w:rsidP="00E75B11">
      <w:pPr>
        <w:pStyle w:val="Odsekzoznamu"/>
        <w:numPr>
          <w:ilvl w:val="0"/>
          <w:numId w:val="14"/>
        </w:numPr>
        <w:jc w:val="both"/>
      </w:pPr>
      <w:r>
        <w:t>za prácu vo sviatok (§ 18)</w:t>
      </w:r>
    </w:p>
    <w:p w14:paraId="2E5DFCF5" w14:textId="77777777" w:rsidR="00E27F32" w:rsidRDefault="00E51C3F" w:rsidP="00E75B11">
      <w:pPr>
        <w:pStyle w:val="Odsekzoznamu"/>
        <w:numPr>
          <w:ilvl w:val="0"/>
          <w:numId w:val="14"/>
        </w:numPr>
        <w:jc w:val="both"/>
      </w:pPr>
      <w:r>
        <w:t>plat za prácu nadčas (po zohľadnení náhradného voľna) (§ 19)</w:t>
      </w:r>
    </w:p>
    <w:p w14:paraId="66BE0790" w14:textId="77777777" w:rsidR="00E27F32" w:rsidRDefault="00E51C3F" w:rsidP="00E75B11">
      <w:pPr>
        <w:pStyle w:val="Odsekzoznamu"/>
        <w:numPr>
          <w:ilvl w:val="0"/>
          <w:numId w:val="14"/>
        </w:numPr>
        <w:jc w:val="both"/>
      </w:pPr>
      <w:r>
        <w:t>plat za neaktívnu časť pracovnej pohotovosti na pracovisku (§ 19 a)</w:t>
      </w:r>
    </w:p>
    <w:p w14:paraId="436F3185" w14:textId="77777777" w:rsidR="00E27F32" w:rsidRDefault="00E51C3F" w:rsidP="00E75B11">
      <w:pPr>
        <w:pStyle w:val="Odsekzoznamu"/>
        <w:numPr>
          <w:ilvl w:val="0"/>
          <w:numId w:val="14"/>
        </w:numPr>
        <w:jc w:val="both"/>
      </w:pPr>
      <w:r>
        <w:t>za riadenie (§ 8)</w:t>
      </w:r>
    </w:p>
    <w:p w14:paraId="1BCB923C" w14:textId="77777777" w:rsidR="00F422D7" w:rsidRDefault="00E51C3F" w:rsidP="00E75B11">
      <w:pPr>
        <w:pStyle w:val="Odsekzoznamu"/>
        <w:numPr>
          <w:ilvl w:val="0"/>
          <w:numId w:val="14"/>
        </w:numPr>
        <w:jc w:val="both"/>
      </w:pPr>
      <w:r>
        <w:t>za zastupovanie (§ 9)</w:t>
      </w:r>
    </w:p>
    <w:p w14:paraId="6BB5D63F" w14:textId="25379E5B" w:rsidR="00AC5A6A" w:rsidRDefault="00C67013" w:rsidP="00E75B11">
      <w:pPr>
        <w:jc w:val="both"/>
      </w:pPr>
      <w:r>
        <w:t>11. Za n</w:t>
      </w:r>
      <w:r w:rsidR="00AC5A6A">
        <w:t>árokové náhrady</w:t>
      </w:r>
      <w:r>
        <w:t xml:space="preserve"> </w:t>
      </w:r>
      <w:r w:rsidR="00A6502A">
        <w:t xml:space="preserve">by </w:t>
      </w:r>
      <w:r>
        <w:t>sa považovali</w:t>
      </w:r>
      <w:r w:rsidR="00AC5A6A">
        <w:t>:</w:t>
      </w:r>
    </w:p>
    <w:p w14:paraId="39E90F8C" w14:textId="1B862B1B" w:rsidR="00AC5A6A" w:rsidRDefault="00AC5A6A" w:rsidP="00E75B11">
      <w:pPr>
        <w:pStyle w:val="Odsekzoznamu"/>
        <w:numPr>
          <w:ilvl w:val="0"/>
          <w:numId w:val="15"/>
        </w:numPr>
        <w:jc w:val="both"/>
      </w:pPr>
      <w:r>
        <w:t xml:space="preserve">náhrada za  neaktívnu  časť  pracovnej  pohotovosti  mimo  pracoviska (§ </w:t>
      </w:r>
      <w:r w:rsidR="000B5A3C">
        <w:t>21</w:t>
      </w:r>
      <w:r>
        <w:t>)</w:t>
      </w:r>
    </w:p>
    <w:p w14:paraId="3D062DA0" w14:textId="211182A8" w:rsidR="00AC5A6A" w:rsidRDefault="00AC5A6A" w:rsidP="00E75B11">
      <w:pPr>
        <w:pStyle w:val="Odsekzoznamu"/>
        <w:numPr>
          <w:ilvl w:val="0"/>
          <w:numId w:val="15"/>
        </w:numPr>
        <w:jc w:val="both"/>
      </w:pPr>
      <w:r>
        <w:t>náhrada  za  pohotovosť  pri zabezpečovaní opatrení v období krízovej situácie (§</w:t>
      </w:r>
      <w:r w:rsidR="000B5A3C">
        <w:t xml:space="preserve"> </w:t>
      </w:r>
      <w:r>
        <w:t>2</w:t>
      </w:r>
      <w:r w:rsidR="000B5A3C">
        <w:t>1a</w:t>
      </w:r>
      <w:r>
        <w:t>)</w:t>
      </w:r>
    </w:p>
    <w:p w14:paraId="701C7388" w14:textId="03ED821E" w:rsidR="007C46BB" w:rsidRDefault="000B5A3C" w:rsidP="00E75B11">
      <w:pPr>
        <w:jc w:val="both"/>
      </w:pPr>
      <w:r>
        <w:t>1</w:t>
      </w:r>
      <w:r w:rsidR="0090004B">
        <w:t>2</w:t>
      </w:r>
      <w:r w:rsidR="007C46BB">
        <w:t xml:space="preserve">. </w:t>
      </w:r>
      <w:r w:rsidR="007061FF">
        <w:t xml:space="preserve">Údaje o výške jednotlivých príplatkov </w:t>
      </w:r>
      <w:r w:rsidR="003151CE">
        <w:t xml:space="preserve">v kapitolách štátneho rozpočtu </w:t>
      </w:r>
      <w:r w:rsidR="007061FF">
        <w:t xml:space="preserve"> </w:t>
      </w:r>
      <w:r w:rsidR="007C46BB">
        <w:t xml:space="preserve">sú najdetailnejšie a </w:t>
      </w:r>
      <w:r w:rsidR="007061FF">
        <w:t>pochádzajú z </w:t>
      </w:r>
      <w:r w:rsidR="007061FF" w:rsidRPr="005D38BB">
        <w:t>Platovej inventúry k 1.</w:t>
      </w:r>
      <w:r w:rsidR="007061FF">
        <w:t xml:space="preserve"> januáru </w:t>
      </w:r>
      <w:r w:rsidR="007061FF" w:rsidRPr="005D38BB">
        <w:t>2016 (Ministerstvo financií 2016)</w:t>
      </w:r>
      <w:r w:rsidR="00430470">
        <w:t xml:space="preserve">. </w:t>
      </w:r>
      <w:r w:rsidR="00BC20B2">
        <w:t>Pomery jednotlivých typov príplatkov sú uvedené v </w:t>
      </w:r>
      <w:r w:rsidR="00BC20B2" w:rsidRPr="000873F6">
        <w:t>Tabuľke 2.</w:t>
      </w:r>
    </w:p>
    <w:p w14:paraId="0FF33039" w14:textId="6A3890AD" w:rsidR="00E75B11" w:rsidRDefault="00FA7180" w:rsidP="00E75B11">
      <w:pPr>
        <w:jc w:val="both"/>
      </w:pPr>
      <w:r>
        <w:t>1</w:t>
      </w:r>
      <w:r w:rsidR="0090004B">
        <w:t>3</w:t>
      </w:r>
      <w:r>
        <w:t xml:space="preserve">. Pri kvantifikácii dopadov za územnú samosprávu sa predpokladá, že príplatky k zmluvnému platu a náhrady k zmluvnému platu kopírujú výšku príplatkov a náhrad v Platovej inventúre. Tento predpoklad vychádza z prepočtov </w:t>
      </w:r>
      <w:r w:rsidRPr="00333A09">
        <w:t>Odboru rozpočtu verejnej správy, Sekcie rozpočt</w:t>
      </w:r>
      <w:r>
        <w:t>ovej politiky MF SR</w:t>
      </w:r>
      <w:r w:rsidR="00B36FD6">
        <w:t xml:space="preserve">. Vychádzajúc zo skutočnosti roku 2016 je možné v roku 2017 v územnej samospráve očakávať </w:t>
      </w:r>
      <w:r>
        <w:t xml:space="preserve">priemerný celkový plat (bez zamestnancov dopravných podnikov, zdravotníckych zariadení a pedagogických zamestnancov </w:t>
      </w:r>
      <w:r w:rsidR="00B36FD6">
        <w:t>originálnych a</w:t>
      </w:r>
      <w:r>
        <w:t xml:space="preserve"> prenesených kompetencií) </w:t>
      </w:r>
      <w:r w:rsidR="00B36FD6">
        <w:t xml:space="preserve">na úrovni </w:t>
      </w:r>
      <w:r>
        <w:t xml:space="preserve">755,90 eur, </w:t>
      </w:r>
      <w:r w:rsidR="00B36FD6">
        <w:t xml:space="preserve">z toho </w:t>
      </w:r>
      <w:r>
        <w:t xml:space="preserve">odmeny v priemere </w:t>
      </w:r>
      <w:r w:rsidR="00B36FD6">
        <w:t xml:space="preserve">cca </w:t>
      </w:r>
      <w:r>
        <w:t xml:space="preserve">50 eur (Tabuľka </w:t>
      </w:r>
      <w:r w:rsidRPr="00BB2D6A">
        <w:t>3</w:t>
      </w:r>
      <w:r>
        <w:t xml:space="preserve">). Suma tarifného platu, osobného </w:t>
      </w:r>
      <w:r w:rsidR="00B36FD6">
        <w:t xml:space="preserve">príplatku </w:t>
      </w:r>
      <w:r>
        <w:t xml:space="preserve">a iných príplatkov, ako aj nárokových príplatkov a náhrad tak predstavuje 705,90 eur.  </w:t>
      </w:r>
    </w:p>
    <w:p w14:paraId="2949241C" w14:textId="57C6B056" w:rsidR="00FA7180" w:rsidRDefault="00FA7180" w:rsidP="00E75B11">
      <w:pPr>
        <w:jc w:val="both"/>
      </w:pPr>
      <w:r>
        <w:t>Podľa prieskumu ISA, ÚV SR bol priemerný tarifný plat v územnej samospráve 496 eur. Za predpokladu, že nárokové príplatky predstavujú  v priemere 5% funkčného platu (33,6 eur), musia zvyšné príplatky (osobný, atď.)</w:t>
      </w:r>
      <w:r w:rsidR="003E7CE1">
        <w:t xml:space="preserve"> zahrnuté do zmluvného platu</w:t>
      </w:r>
      <w:r>
        <w:t xml:space="preserve"> predstavovať 176,3 eur, čo je zhruba 35,5% priemerného </w:t>
      </w:r>
      <w:r w:rsidR="00243F7D">
        <w:t xml:space="preserve">tarifného </w:t>
      </w:r>
      <w:r>
        <w:t xml:space="preserve">platu. Toto je porovnateľné s pomerom v prípade zamestnancov kapitol štátneho rozpočtu, u ktorých na základe Platovej inventúry predstavovali tieto príplatky v prípade základnej stupnice 34% tarifného platu (Tabuľka 2). Mierne nadhodnotenie výšky príplatkov v územnej samospráve môže vyplývať z faktu, že do týchto prepočtov boli zahrnutí aj zamestnanci odmeňovaní na základe Zákonníka práce. </w:t>
      </w:r>
    </w:p>
    <w:p w14:paraId="4F7E22D8" w14:textId="0E4776AA" w:rsidR="00CF4ABC" w:rsidRDefault="000B5A3C" w:rsidP="00E75B11">
      <w:pPr>
        <w:jc w:val="both"/>
      </w:pPr>
      <w:r>
        <w:t>1</w:t>
      </w:r>
      <w:r w:rsidR="00284F38">
        <w:t>5</w:t>
      </w:r>
      <w:r w:rsidR="00CF4ABC">
        <w:t>. Predpoklad</w:t>
      </w:r>
      <w:r w:rsidR="003F51A7">
        <w:t>á</w:t>
      </w:r>
      <w:r w:rsidR="00CF4ABC">
        <w:t xml:space="preserve"> sa, že </w:t>
      </w:r>
      <w:r w:rsidR="00E628EE">
        <w:t xml:space="preserve">príplatky </w:t>
      </w:r>
      <w:r w:rsidR="00CF4ABC">
        <w:t>za riadenie</w:t>
      </w:r>
      <w:r w:rsidR="00E628EE">
        <w:t>, zastupovanie a ďalšie príplatk</w:t>
      </w:r>
      <w:r w:rsidR="00B10FAF">
        <w:t>y</w:t>
      </w:r>
      <w:r w:rsidR="00E628EE">
        <w:t xml:space="preserve">, ktoré </w:t>
      </w:r>
      <w:r w:rsidR="00CF4ABC">
        <w:t>bol</w:t>
      </w:r>
      <w:r w:rsidR="00E628EE">
        <w:t>i</w:t>
      </w:r>
      <w:r w:rsidR="00CF4ABC">
        <w:t xml:space="preserve"> pôvodne naviazan</w:t>
      </w:r>
      <w:r w:rsidR="00E628EE">
        <w:t>é</w:t>
      </w:r>
      <w:r w:rsidR="00CF4ABC">
        <w:t xml:space="preserve"> na platovú tarifu najvyššieho platového stupňa platovej triedy, do ktorej bol zamestnanec zaradený, sa po novom naviaž</w:t>
      </w:r>
      <w:r w:rsidR="00E628EE">
        <w:t>u</w:t>
      </w:r>
      <w:r w:rsidR="00CF4ABC">
        <w:t xml:space="preserve"> na hornú hranicu stupňa náročnosti, do ktorého je zamestnanec zaradený, pričom percentuálne sadzby sa upravia tak, aby príplatky v absolútnej hodnote korešpondovali so súčasným stavom. </w:t>
      </w:r>
    </w:p>
    <w:p w14:paraId="0A910F30" w14:textId="08817314" w:rsidR="00E75B11" w:rsidRDefault="000B5A3C" w:rsidP="00603612">
      <w:pPr>
        <w:jc w:val="both"/>
      </w:pPr>
      <w:r>
        <w:t>1</w:t>
      </w:r>
      <w:r w:rsidR="00284F38">
        <w:t>6</w:t>
      </w:r>
      <w:r w:rsidR="00562096">
        <w:t xml:space="preserve">. </w:t>
      </w:r>
      <w:r w:rsidR="007943D7">
        <w:t xml:space="preserve">Základný </w:t>
      </w:r>
      <w:r w:rsidR="0090004B">
        <w:t>scenár</w:t>
      </w:r>
      <w:r w:rsidR="007943D7">
        <w:t xml:space="preserve">: minimálna mzda </w:t>
      </w:r>
      <w:r w:rsidR="003F51A7">
        <w:t xml:space="preserve">vo výške 500 eur; </w:t>
      </w:r>
      <w:r w:rsidR="007943D7" w:rsidRPr="00AF7043">
        <w:t>dopad vyplývajúci z navýšenia minimálnej mzdy na úroveň 50</w:t>
      </w:r>
      <w:r w:rsidR="007943D7">
        <w:t>0</w:t>
      </w:r>
      <w:r w:rsidR="007943D7" w:rsidRPr="00AF7043">
        <w:t xml:space="preserve"> eur </w:t>
      </w:r>
      <w:r w:rsidR="009E513F">
        <w:t>nie je predmetom kvantifikácie dopadov</w:t>
      </w:r>
      <w:r w:rsidR="00D4705A">
        <w:t xml:space="preserve">, keďže dopady zvyšovania minimálnej mzdy sú predmetom zákona o minimálnej mzde. </w:t>
      </w:r>
    </w:p>
    <w:p w14:paraId="5B40AC4A" w14:textId="77777777" w:rsidR="001430ED" w:rsidRDefault="001430ED" w:rsidP="00603612">
      <w:pPr>
        <w:jc w:val="both"/>
      </w:pPr>
    </w:p>
    <w:p w14:paraId="5B1E7E54" w14:textId="77777777" w:rsidR="001430ED" w:rsidRDefault="001430ED" w:rsidP="00603612">
      <w:pPr>
        <w:jc w:val="both"/>
      </w:pPr>
    </w:p>
    <w:p w14:paraId="3BE1487D" w14:textId="77777777" w:rsidR="001430ED" w:rsidRDefault="001430ED" w:rsidP="00603612">
      <w:pPr>
        <w:jc w:val="both"/>
      </w:pPr>
    </w:p>
    <w:p w14:paraId="6026E106" w14:textId="71FD3FBB" w:rsidR="007C46BB" w:rsidRDefault="007C46BB" w:rsidP="00580351">
      <w:pPr>
        <w:pStyle w:val="Bezriadkovania"/>
      </w:pPr>
      <w:r>
        <w:t xml:space="preserve">Tabuľka </w:t>
      </w:r>
      <w:fldSimple w:instr=" SEQ Tabuľka \* ARABIC ">
        <w:r w:rsidR="0032320C">
          <w:rPr>
            <w:noProof/>
          </w:rPr>
          <w:t>2</w:t>
        </w:r>
      </w:fldSimple>
      <w:r>
        <w:t xml:space="preserve">: </w:t>
      </w:r>
      <w:r w:rsidR="00D44674">
        <w:t>Výška p</w:t>
      </w:r>
      <w:r>
        <w:t>ríplatk</w:t>
      </w:r>
      <w:r w:rsidR="00D44674">
        <w:t xml:space="preserve">ov v </w:t>
      </w:r>
      <w:r w:rsidR="00653875">
        <w:t> kapitolách ŠR</w:t>
      </w:r>
      <w:r w:rsidR="0071700B">
        <w:t xml:space="preserve">, </w:t>
      </w:r>
      <w:r w:rsidR="00653875">
        <w:t>vrátane VVŠ</w:t>
      </w:r>
      <w:r w:rsidR="00E26E8E">
        <w:t xml:space="preserve"> (v 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187"/>
        <w:gridCol w:w="1187"/>
        <w:gridCol w:w="1185"/>
      </w:tblGrid>
      <w:tr w:rsidR="00687DB2" w:rsidRPr="00687DB2" w14:paraId="15081AE7" w14:textId="77777777" w:rsidTr="00687DB2">
        <w:trPr>
          <w:trHeight w:val="30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2D2" w14:textId="77777777" w:rsidR="00687DB2" w:rsidRPr="00687DB2" w:rsidRDefault="00687DB2" w:rsidP="00687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281" w14:textId="2440602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Základná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BE4" w14:textId="54B58B7D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Osobitná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92E" w14:textId="53F57D08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Zdravotn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687DB2" w:rsidRPr="00687DB2" w14:paraId="27393E53" w14:textId="77777777" w:rsidTr="00687DB2">
        <w:trPr>
          <w:trHeight w:val="300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471" w14:textId="4C9A4747" w:rsidR="00687DB2" w:rsidRPr="00687DB2" w:rsidRDefault="00687DB2" w:rsidP="00687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(1) Príplatky v zmluvnom plate (% tarifného platu)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98D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33,94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2A6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22,68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576A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18,38</w:t>
            </w:r>
          </w:p>
        </w:tc>
      </w:tr>
      <w:tr w:rsidR="00687DB2" w:rsidRPr="00687DB2" w14:paraId="4BAFA364" w14:textId="77777777" w:rsidTr="00687DB2">
        <w:trPr>
          <w:trHeight w:val="300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AE33" w14:textId="066808CE" w:rsidR="00687DB2" w:rsidRPr="00687DB2" w:rsidRDefault="00687DB2" w:rsidP="00687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(2) Nárokové zložky k ZP (% zmluvného platu)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F45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3,59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49D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1,67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044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0,64</w:t>
            </w:r>
          </w:p>
        </w:tc>
      </w:tr>
      <w:tr w:rsidR="00687DB2" w:rsidRPr="00687DB2" w14:paraId="229927D9" w14:textId="77777777" w:rsidTr="00687DB2">
        <w:trPr>
          <w:trHeight w:val="300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022" w14:textId="77777777" w:rsidR="00687DB2" w:rsidRPr="00687DB2" w:rsidRDefault="00687DB2" w:rsidP="00687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(3) Nárokové náhrady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9CC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1,18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1F4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0,24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E97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color w:val="000000"/>
                <w:lang w:eastAsia="sk-SK"/>
              </w:rPr>
              <w:t>0,07</w:t>
            </w:r>
          </w:p>
        </w:tc>
      </w:tr>
      <w:tr w:rsidR="00687DB2" w:rsidRPr="00687DB2" w14:paraId="3BBDE3E2" w14:textId="77777777" w:rsidTr="00687DB2">
        <w:trPr>
          <w:trHeight w:val="300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65F" w14:textId="040E1AB6" w:rsidR="00687DB2" w:rsidRPr="00687DB2" w:rsidRDefault="00687DB2" w:rsidP="00687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(4) Nárokové príplatky a náhrady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(2) + (3)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2DA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4,77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6DBC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1,91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30A" w14:textId="77777777" w:rsidR="00687DB2" w:rsidRPr="00687DB2" w:rsidRDefault="00687DB2" w:rsidP="00FB6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7D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0,71</w:t>
            </w:r>
          </w:p>
        </w:tc>
      </w:tr>
    </w:tbl>
    <w:p w14:paraId="4279A9C3" w14:textId="3B80D3FA" w:rsidR="007C46BB" w:rsidRDefault="009357DB" w:rsidP="00580351">
      <w:pPr>
        <w:pStyle w:val="Bezriadkovania"/>
      </w:pPr>
      <w:r>
        <w:t xml:space="preserve"> </w:t>
      </w:r>
    </w:p>
    <w:p w14:paraId="74E1C3DA" w14:textId="143151EA" w:rsidR="00FA7180" w:rsidRDefault="00FA7180" w:rsidP="00580351">
      <w:pPr>
        <w:pStyle w:val="Bezriadkovania"/>
      </w:pPr>
    </w:p>
    <w:p w14:paraId="3F4B20CF" w14:textId="77777777" w:rsidR="00FA7180" w:rsidRDefault="00FA7180" w:rsidP="00FA7180">
      <w:pPr>
        <w:pStyle w:val="Bezriadkovania"/>
      </w:pPr>
      <w:r w:rsidRPr="00442FB7">
        <w:t>Tabuľka 3: Zložky</w:t>
      </w:r>
      <w:r>
        <w:t xml:space="preserve"> platu v územnej samospráve (EUR/mesiac)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1205"/>
      </w:tblGrid>
      <w:tr w:rsidR="00FA7180" w:rsidRPr="00E13A35" w14:paraId="24AE1A04" w14:textId="77777777" w:rsidTr="006E6676">
        <w:trPr>
          <w:trHeight w:val="300"/>
        </w:trPr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A49" w14:textId="77777777" w:rsidR="00FA7180" w:rsidRPr="00791002" w:rsidRDefault="00FA7180" w:rsidP="006E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1002">
              <w:rPr>
                <w:rFonts w:ascii="Calibri" w:eastAsia="Times New Roman" w:hAnsi="Calibri" w:cs="Times New Roman"/>
                <w:color w:val="000000"/>
                <w:lang w:eastAsia="sk-SK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) </w:t>
            </w:r>
            <w:r w:rsidRPr="00791002">
              <w:rPr>
                <w:rFonts w:ascii="Calibri" w:eastAsia="Times New Roman" w:hAnsi="Calibri" w:cs="Times New Roman"/>
                <w:color w:val="000000"/>
                <w:lang w:eastAsia="sk-SK"/>
              </w:rPr>
              <w:t>Plat zamestnanca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3822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755,9</w:t>
            </w:r>
          </w:p>
        </w:tc>
      </w:tr>
      <w:tr w:rsidR="00FA7180" w:rsidRPr="00E13A35" w14:paraId="64B2FC79" w14:textId="77777777" w:rsidTr="006E6676">
        <w:trPr>
          <w:trHeight w:val="315"/>
        </w:trPr>
        <w:tc>
          <w:tcPr>
            <w:tcW w:w="43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BEA2" w14:textId="77777777" w:rsidR="00FA7180" w:rsidRPr="00E13A35" w:rsidRDefault="00FA7180" w:rsidP="006E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(2) 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z toho odmeny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9A8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  <w:tr w:rsidR="00FA7180" w:rsidRPr="00E13A35" w14:paraId="4258B9FF" w14:textId="77777777" w:rsidTr="006E6676">
        <w:trPr>
          <w:trHeight w:val="300"/>
        </w:trPr>
        <w:tc>
          <w:tcPr>
            <w:tcW w:w="4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1DF" w14:textId="77777777" w:rsidR="00FA7180" w:rsidRPr="00E13A35" w:rsidRDefault="00FA7180" w:rsidP="006E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(3) 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Funk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čný plat + nárokové príplatky                                                                          (1) – (2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C1C7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705,9</w:t>
            </w:r>
          </w:p>
        </w:tc>
      </w:tr>
      <w:tr w:rsidR="00FA7180" w:rsidRPr="00E13A35" w14:paraId="43DA704E" w14:textId="77777777" w:rsidTr="006E6676">
        <w:trPr>
          <w:trHeight w:val="300"/>
        </w:trPr>
        <w:tc>
          <w:tcPr>
            <w:tcW w:w="4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925" w14:textId="77777777" w:rsidR="00FA7180" w:rsidRPr="00E13A35" w:rsidRDefault="00FA7180" w:rsidP="006E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(4) 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z toho tarifný plat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*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4A8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496</w:t>
            </w:r>
          </w:p>
        </w:tc>
      </w:tr>
      <w:tr w:rsidR="00FA7180" w:rsidRPr="00E13A35" w14:paraId="4234AD5E" w14:textId="77777777" w:rsidTr="006E6676">
        <w:trPr>
          <w:trHeight w:val="315"/>
        </w:trPr>
        <w:tc>
          <w:tcPr>
            <w:tcW w:w="43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0EC" w14:textId="29C5B4B4" w:rsidR="00FA7180" w:rsidRPr="00E13A35" w:rsidRDefault="00FA7180" w:rsidP="00B10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(5) 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z toho nárokové príplatk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y </w:t>
            </w:r>
            <w:r w:rsidR="00B10FAF">
              <w:rPr>
                <w:rFonts w:ascii="Calibri" w:eastAsia="Times New Roman" w:hAnsi="Calibri" w:cs="Times New Roman"/>
                <w:color w:val="000000"/>
                <w:lang w:eastAsia="sk-SK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5% z funkčného platu</w:t>
            </w:r>
            <w:r w:rsidR="00B10FAF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</w:t>
            </w:r>
            <w:r w:rsidR="00B10FA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</w:t>
            </w:r>
            <w:r w:rsidR="00B10FA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(3)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* 5/105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662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33,6</w:t>
            </w:r>
          </w:p>
        </w:tc>
      </w:tr>
      <w:tr w:rsidR="00FA7180" w:rsidRPr="00E13A35" w14:paraId="0F6B6253" w14:textId="77777777" w:rsidTr="006E6676">
        <w:trPr>
          <w:trHeight w:val="300"/>
        </w:trPr>
        <w:tc>
          <w:tcPr>
            <w:tcW w:w="4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8BA" w14:textId="77777777" w:rsidR="00FA7180" w:rsidRPr="00E13A35" w:rsidRDefault="00FA7180" w:rsidP="006E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(6) 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z to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ho príplatky v zmluvnom plate                                                              (3) –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(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(5)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FA5" w14:textId="77777777" w:rsidR="00FA7180" w:rsidRPr="00E13A35" w:rsidRDefault="00FA7180" w:rsidP="006E6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A35">
              <w:rPr>
                <w:rFonts w:ascii="Calibri" w:eastAsia="Times New Roman" w:hAnsi="Calibri" w:cs="Times New Roman"/>
                <w:color w:val="000000"/>
                <w:lang w:eastAsia="sk-SK"/>
              </w:rPr>
              <w:t>176,3</w:t>
            </w:r>
          </w:p>
        </w:tc>
      </w:tr>
    </w:tbl>
    <w:p w14:paraId="460F522C" w14:textId="77777777" w:rsidR="00EE7684" w:rsidRDefault="00EE7684" w:rsidP="00580351">
      <w:pPr>
        <w:pStyle w:val="Bezriadkovania"/>
      </w:pPr>
    </w:p>
    <w:sectPr w:rsidR="00EE7684" w:rsidSect="0014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95AA" w14:textId="77777777" w:rsidR="00DD07D1" w:rsidRDefault="00DD07D1" w:rsidP="00591A8F">
      <w:pPr>
        <w:spacing w:after="0" w:line="240" w:lineRule="auto"/>
      </w:pPr>
      <w:r>
        <w:separator/>
      </w:r>
    </w:p>
  </w:endnote>
  <w:endnote w:type="continuationSeparator" w:id="0">
    <w:p w14:paraId="3873DAEC" w14:textId="77777777" w:rsidR="00DD07D1" w:rsidRDefault="00DD07D1" w:rsidP="005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1ACE" w14:textId="77777777" w:rsidR="00DD07D1" w:rsidRDefault="00DD07D1" w:rsidP="00591A8F">
      <w:pPr>
        <w:spacing w:after="0" w:line="240" w:lineRule="auto"/>
      </w:pPr>
      <w:r>
        <w:separator/>
      </w:r>
    </w:p>
  </w:footnote>
  <w:footnote w:type="continuationSeparator" w:id="0">
    <w:p w14:paraId="2914E68C" w14:textId="77777777" w:rsidR="00DD07D1" w:rsidRDefault="00DD07D1" w:rsidP="0059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D8A"/>
    <w:multiLevelType w:val="hybridMultilevel"/>
    <w:tmpl w:val="DB3AD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56A9"/>
    <w:multiLevelType w:val="hybridMultilevel"/>
    <w:tmpl w:val="B8868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0B18"/>
    <w:multiLevelType w:val="hybridMultilevel"/>
    <w:tmpl w:val="9CE46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323D2"/>
    <w:multiLevelType w:val="hybridMultilevel"/>
    <w:tmpl w:val="EFFAD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2332"/>
    <w:multiLevelType w:val="hybridMultilevel"/>
    <w:tmpl w:val="93B28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D411F"/>
    <w:multiLevelType w:val="hybridMultilevel"/>
    <w:tmpl w:val="0AC0BB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6E68"/>
    <w:multiLevelType w:val="hybridMultilevel"/>
    <w:tmpl w:val="DC76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B02E1"/>
    <w:multiLevelType w:val="hybridMultilevel"/>
    <w:tmpl w:val="44CA6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20E1"/>
    <w:multiLevelType w:val="hybridMultilevel"/>
    <w:tmpl w:val="C6C298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D278A"/>
    <w:multiLevelType w:val="hybridMultilevel"/>
    <w:tmpl w:val="1B2CD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0B95"/>
    <w:multiLevelType w:val="hybridMultilevel"/>
    <w:tmpl w:val="07D6E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51CA3"/>
    <w:multiLevelType w:val="hybridMultilevel"/>
    <w:tmpl w:val="B8BA3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10FB5"/>
    <w:multiLevelType w:val="hybridMultilevel"/>
    <w:tmpl w:val="BCB85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8396C"/>
    <w:multiLevelType w:val="hybridMultilevel"/>
    <w:tmpl w:val="3AEA8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129F3"/>
    <w:multiLevelType w:val="hybridMultilevel"/>
    <w:tmpl w:val="193A46F8"/>
    <w:lvl w:ilvl="0" w:tplc="EF982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B0C9B"/>
    <w:multiLevelType w:val="hybridMultilevel"/>
    <w:tmpl w:val="EFF08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5D"/>
    <w:rsid w:val="00005ED0"/>
    <w:rsid w:val="00010EC7"/>
    <w:rsid w:val="00030121"/>
    <w:rsid w:val="00032437"/>
    <w:rsid w:val="0003736D"/>
    <w:rsid w:val="00057B4B"/>
    <w:rsid w:val="00057D38"/>
    <w:rsid w:val="00066322"/>
    <w:rsid w:val="00074472"/>
    <w:rsid w:val="00080F52"/>
    <w:rsid w:val="000873F6"/>
    <w:rsid w:val="0009006C"/>
    <w:rsid w:val="00091AAC"/>
    <w:rsid w:val="000A072D"/>
    <w:rsid w:val="000B5A3C"/>
    <w:rsid w:val="000C2157"/>
    <w:rsid w:val="000D668F"/>
    <w:rsid w:val="000E213B"/>
    <w:rsid w:val="000F2880"/>
    <w:rsid w:val="00120729"/>
    <w:rsid w:val="00123DCA"/>
    <w:rsid w:val="00134769"/>
    <w:rsid w:val="001430ED"/>
    <w:rsid w:val="00153760"/>
    <w:rsid w:val="00153DFE"/>
    <w:rsid w:val="001566BE"/>
    <w:rsid w:val="00185066"/>
    <w:rsid w:val="001947EF"/>
    <w:rsid w:val="001A075D"/>
    <w:rsid w:val="001A2E5B"/>
    <w:rsid w:val="001A3726"/>
    <w:rsid w:val="001A4AC6"/>
    <w:rsid w:val="001A79AC"/>
    <w:rsid w:val="001C1F1E"/>
    <w:rsid w:val="001D0E96"/>
    <w:rsid w:val="001D60AD"/>
    <w:rsid w:val="001E3273"/>
    <w:rsid w:val="001E4502"/>
    <w:rsid w:val="001F080C"/>
    <w:rsid w:val="001F1377"/>
    <w:rsid w:val="001F661D"/>
    <w:rsid w:val="002007A7"/>
    <w:rsid w:val="00213961"/>
    <w:rsid w:val="002319E2"/>
    <w:rsid w:val="00236204"/>
    <w:rsid w:val="0023655B"/>
    <w:rsid w:val="002425E0"/>
    <w:rsid w:val="00243F7D"/>
    <w:rsid w:val="00251E64"/>
    <w:rsid w:val="00255B1A"/>
    <w:rsid w:val="00257445"/>
    <w:rsid w:val="002632B1"/>
    <w:rsid w:val="00267378"/>
    <w:rsid w:val="0028015E"/>
    <w:rsid w:val="00284F38"/>
    <w:rsid w:val="002861DF"/>
    <w:rsid w:val="00296418"/>
    <w:rsid w:val="002A3E79"/>
    <w:rsid w:val="002A5F89"/>
    <w:rsid w:val="002B270E"/>
    <w:rsid w:val="002D48C5"/>
    <w:rsid w:val="002D5B46"/>
    <w:rsid w:val="002E7815"/>
    <w:rsid w:val="002F173E"/>
    <w:rsid w:val="002F2844"/>
    <w:rsid w:val="0030291F"/>
    <w:rsid w:val="003151CE"/>
    <w:rsid w:val="00321640"/>
    <w:rsid w:val="0032320C"/>
    <w:rsid w:val="00324341"/>
    <w:rsid w:val="00331F58"/>
    <w:rsid w:val="003601D0"/>
    <w:rsid w:val="00362337"/>
    <w:rsid w:val="00363268"/>
    <w:rsid w:val="00367BB0"/>
    <w:rsid w:val="00373B79"/>
    <w:rsid w:val="003817A4"/>
    <w:rsid w:val="003826EB"/>
    <w:rsid w:val="0038484E"/>
    <w:rsid w:val="0039141D"/>
    <w:rsid w:val="00392188"/>
    <w:rsid w:val="00397E1D"/>
    <w:rsid w:val="003A265F"/>
    <w:rsid w:val="003A3140"/>
    <w:rsid w:val="003A3E01"/>
    <w:rsid w:val="003C411A"/>
    <w:rsid w:val="003D0034"/>
    <w:rsid w:val="003D3C40"/>
    <w:rsid w:val="003E0B7C"/>
    <w:rsid w:val="003E7CE1"/>
    <w:rsid w:val="003F51A7"/>
    <w:rsid w:val="00404742"/>
    <w:rsid w:val="00430470"/>
    <w:rsid w:val="00440D20"/>
    <w:rsid w:val="00443B6E"/>
    <w:rsid w:val="00452F8B"/>
    <w:rsid w:val="00476A27"/>
    <w:rsid w:val="00482C2B"/>
    <w:rsid w:val="004A7BCE"/>
    <w:rsid w:val="004E2AA0"/>
    <w:rsid w:val="004F2D17"/>
    <w:rsid w:val="004F55B4"/>
    <w:rsid w:val="004F7020"/>
    <w:rsid w:val="00502451"/>
    <w:rsid w:val="00511C24"/>
    <w:rsid w:val="0051507D"/>
    <w:rsid w:val="00520E91"/>
    <w:rsid w:val="00521FE6"/>
    <w:rsid w:val="0052787E"/>
    <w:rsid w:val="00540A18"/>
    <w:rsid w:val="00546E72"/>
    <w:rsid w:val="00562096"/>
    <w:rsid w:val="00571A2C"/>
    <w:rsid w:val="00580351"/>
    <w:rsid w:val="00591A8F"/>
    <w:rsid w:val="00597EFE"/>
    <w:rsid w:val="005B214F"/>
    <w:rsid w:val="005B791F"/>
    <w:rsid w:val="005C2DB2"/>
    <w:rsid w:val="005E68A5"/>
    <w:rsid w:val="005F1A8D"/>
    <w:rsid w:val="00603612"/>
    <w:rsid w:val="006240CD"/>
    <w:rsid w:val="006256FC"/>
    <w:rsid w:val="0063374E"/>
    <w:rsid w:val="006476DB"/>
    <w:rsid w:val="00653875"/>
    <w:rsid w:val="00663EE2"/>
    <w:rsid w:val="00666E86"/>
    <w:rsid w:val="00671BD4"/>
    <w:rsid w:val="006752A9"/>
    <w:rsid w:val="006803C8"/>
    <w:rsid w:val="00681592"/>
    <w:rsid w:val="00687DB2"/>
    <w:rsid w:val="00690155"/>
    <w:rsid w:val="006B4CE4"/>
    <w:rsid w:val="006D5566"/>
    <w:rsid w:val="00703C9B"/>
    <w:rsid w:val="00705419"/>
    <w:rsid w:val="007061FF"/>
    <w:rsid w:val="0071700B"/>
    <w:rsid w:val="007177EC"/>
    <w:rsid w:val="00721B17"/>
    <w:rsid w:val="007375AE"/>
    <w:rsid w:val="007453AE"/>
    <w:rsid w:val="00751A96"/>
    <w:rsid w:val="00753FFC"/>
    <w:rsid w:val="007544D8"/>
    <w:rsid w:val="00757BBE"/>
    <w:rsid w:val="007614D4"/>
    <w:rsid w:val="007701AA"/>
    <w:rsid w:val="00782891"/>
    <w:rsid w:val="007858C5"/>
    <w:rsid w:val="007943D7"/>
    <w:rsid w:val="007B4BFD"/>
    <w:rsid w:val="007B7F16"/>
    <w:rsid w:val="007B7F4E"/>
    <w:rsid w:val="007C46BB"/>
    <w:rsid w:val="007E0BE5"/>
    <w:rsid w:val="007F65F9"/>
    <w:rsid w:val="0081726A"/>
    <w:rsid w:val="008233F3"/>
    <w:rsid w:val="00824360"/>
    <w:rsid w:val="00842E39"/>
    <w:rsid w:val="00855C33"/>
    <w:rsid w:val="00867173"/>
    <w:rsid w:val="008A5B1B"/>
    <w:rsid w:val="008B5059"/>
    <w:rsid w:val="008B7894"/>
    <w:rsid w:val="008C3B23"/>
    <w:rsid w:val="008D2D8E"/>
    <w:rsid w:val="008D3777"/>
    <w:rsid w:val="008E5EB9"/>
    <w:rsid w:val="008F36BA"/>
    <w:rsid w:val="0090004B"/>
    <w:rsid w:val="009012D0"/>
    <w:rsid w:val="00902FB0"/>
    <w:rsid w:val="0091527E"/>
    <w:rsid w:val="00922E02"/>
    <w:rsid w:val="009260BE"/>
    <w:rsid w:val="009357DB"/>
    <w:rsid w:val="00950CBC"/>
    <w:rsid w:val="0095687A"/>
    <w:rsid w:val="00962D94"/>
    <w:rsid w:val="009A1451"/>
    <w:rsid w:val="009B3C2B"/>
    <w:rsid w:val="009B730F"/>
    <w:rsid w:val="009E513F"/>
    <w:rsid w:val="00A00CF4"/>
    <w:rsid w:val="00A04434"/>
    <w:rsid w:val="00A0472A"/>
    <w:rsid w:val="00A07F34"/>
    <w:rsid w:val="00A13889"/>
    <w:rsid w:val="00A21435"/>
    <w:rsid w:val="00A258BE"/>
    <w:rsid w:val="00A30EAC"/>
    <w:rsid w:val="00A50F62"/>
    <w:rsid w:val="00A514CE"/>
    <w:rsid w:val="00A52CA6"/>
    <w:rsid w:val="00A52D5E"/>
    <w:rsid w:val="00A5750F"/>
    <w:rsid w:val="00A637D5"/>
    <w:rsid w:val="00A6502A"/>
    <w:rsid w:val="00A70717"/>
    <w:rsid w:val="00A81AB0"/>
    <w:rsid w:val="00A93418"/>
    <w:rsid w:val="00A978F1"/>
    <w:rsid w:val="00AC5A6A"/>
    <w:rsid w:val="00AF3F0A"/>
    <w:rsid w:val="00B03806"/>
    <w:rsid w:val="00B04936"/>
    <w:rsid w:val="00B058C4"/>
    <w:rsid w:val="00B10FAF"/>
    <w:rsid w:val="00B14018"/>
    <w:rsid w:val="00B150E8"/>
    <w:rsid w:val="00B3046F"/>
    <w:rsid w:val="00B36FD6"/>
    <w:rsid w:val="00B41786"/>
    <w:rsid w:val="00B448B0"/>
    <w:rsid w:val="00B60765"/>
    <w:rsid w:val="00B654D3"/>
    <w:rsid w:val="00B840BC"/>
    <w:rsid w:val="00B84B6C"/>
    <w:rsid w:val="00B937D0"/>
    <w:rsid w:val="00BA5F7A"/>
    <w:rsid w:val="00BA7E0A"/>
    <w:rsid w:val="00BB1B0F"/>
    <w:rsid w:val="00BB2D6A"/>
    <w:rsid w:val="00BB75B3"/>
    <w:rsid w:val="00BC20B2"/>
    <w:rsid w:val="00BC7A2A"/>
    <w:rsid w:val="00BD16D7"/>
    <w:rsid w:val="00BE4A4C"/>
    <w:rsid w:val="00BF2D4C"/>
    <w:rsid w:val="00BF59BF"/>
    <w:rsid w:val="00C22922"/>
    <w:rsid w:val="00C23121"/>
    <w:rsid w:val="00C54728"/>
    <w:rsid w:val="00C607BA"/>
    <w:rsid w:val="00C63C0A"/>
    <w:rsid w:val="00C67013"/>
    <w:rsid w:val="00C71D5B"/>
    <w:rsid w:val="00C80ABB"/>
    <w:rsid w:val="00C86588"/>
    <w:rsid w:val="00C93587"/>
    <w:rsid w:val="00CA32BC"/>
    <w:rsid w:val="00CD7FC0"/>
    <w:rsid w:val="00CF4ABC"/>
    <w:rsid w:val="00D03A10"/>
    <w:rsid w:val="00D15F12"/>
    <w:rsid w:val="00D16AED"/>
    <w:rsid w:val="00D33C9F"/>
    <w:rsid w:val="00D43F37"/>
    <w:rsid w:val="00D44674"/>
    <w:rsid w:val="00D4556F"/>
    <w:rsid w:val="00D4705A"/>
    <w:rsid w:val="00D47E4C"/>
    <w:rsid w:val="00DD07D1"/>
    <w:rsid w:val="00DD3605"/>
    <w:rsid w:val="00DE5994"/>
    <w:rsid w:val="00DE760D"/>
    <w:rsid w:val="00DF6F4F"/>
    <w:rsid w:val="00DF7880"/>
    <w:rsid w:val="00E02BDF"/>
    <w:rsid w:val="00E11A42"/>
    <w:rsid w:val="00E152AF"/>
    <w:rsid w:val="00E1643E"/>
    <w:rsid w:val="00E26E8E"/>
    <w:rsid w:val="00E27A8E"/>
    <w:rsid w:val="00E27F32"/>
    <w:rsid w:val="00E4501D"/>
    <w:rsid w:val="00E51C3F"/>
    <w:rsid w:val="00E57231"/>
    <w:rsid w:val="00E628EE"/>
    <w:rsid w:val="00E66DC2"/>
    <w:rsid w:val="00E72814"/>
    <w:rsid w:val="00E75B11"/>
    <w:rsid w:val="00E812F0"/>
    <w:rsid w:val="00EA056C"/>
    <w:rsid w:val="00EB0E0C"/>
    <w:rsid w:val="00EC1A34"/>
    <w:rsid w:val="00EC7E32"/>
    <w:rsid w:val="00EE174B"/>
    <w:rsid w:val="00EE7684"/>
    <w:rsid w:val="00F03BA1"/>
    <w:rsid w:val="00F116D1"/>
    <w:rsid w:val="00F1430C"/>
    <w:rsid w:val="00F16BCC"/>
    <w:rsid w:val="00F25950"/>
    <w:rsid w:val="00F33942"/>
    <w:rsid w:val="00F42159"/>
    <w:rsid w:val="00F422D7"/>
    <w:rsid w:val="00F43B83"/>
    <w:rsid w:val="00F47D99"/>
    <w:rsid w:val="00F50561"/>
    <w:rsid w:val="00F5260B"/>
    <w:rsid w:val="00F7300F"/>
    <w:rsid w:val="00F7438C"/>
    <w:rsid w:val="00FA2532"/>
    <w:rsid w:val="00FA7180"/>
    <w:rsid w:val="00FA7C32"/>
    <w:rsid w:val="00FB2E6C"/>
    <w:rsid w:val="00FB3D14"/>
    <w:rsid w:val="00FB618A"/>
    <w:rsid w:val="00FB7D08"/>
    <w:rsid w:val="00FC428C"/>
    <w:rsid w:val="00FD09DB"/>
    <w:rsid w:val="00FD7594"/>
    <w:rsid w:val="00FE134F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E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16D7"/>
    <w:pPr>
      <w:ind w:left="720"/>
      <w:contextualSpacing/>
    </w:pPr>
  </w:style>
  <w:style w:type="paragraph" w:styleId="Bezriadkovania">
    <w:name w:val="No Spacing"/>
    <w:uiPriority w:val="1"/>
    <w:qFormat/>
    <w:rsid w:val="00BD16D7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7828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259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A8F"/>
  </w:style>
  <w:style w:type="paragraph" w:styleId="Pta">
    <w:name w:val="footer"/>
    <w:basedOn w:val="Normlny"/>
    <w:link w:val="PtaChar"/>
    <w:uiPriority w:val="99"/>
    <w:unhideWhenUsed/>
    <w:rsid w:val="005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A8F"/>
  </w:style>
  <w:style w:type="character" w:styleId="Odkaznakomentr">
    <w:name w:val="annotation reference"/>
    <w:basedOn w:val="Predvolenpsmoodseku"/>
    <w:uiPriority w:val="99"/>
    <w:semiHidden/>
    <w:unhideWhenUsed/>
    <w:rsid w:val="008D2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2D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2D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D8E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0380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03806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03806"/>
    <w:rPr>
      <w:vertAlign w:val="superscript"/>
    </w:rPr>
  </w:style>
  <w:style w:type="paragraph" w:styleId="Revzia">
    <w:name w:val="Revision"/>
    <w:hidden/>
    <w:uiPriority w:val="99"/>
    <w:semiHidden/>
    <w:rsid w:val="00FB6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16D7"/>
    <w:pPr>
      <w:ind w:left="720"/>
      <w:contextualSpacing/>
    </w:pPr>
  </w:style>
  <w:style w:type="paragraph" w:styleId="Bezriadkovania">
    <w:name w:val="No Spacing"/>
    <w:uiPriority w:val="1"/>
    <w:qFormat/>
    <w:rsid w:val="00BD16D7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7828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259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A8F"/>
  </w:style>
  <w:style w:type="paragraph" w:styleId="Pta">
    <w:name w:val="footer"/>
    <w:basedOn w:val="Normlny"/>
    <w:link w:val="PtaChar"/>
    <w:uiPriority w:val="99"/>
    <w:unhideWhenUsed/>
    <w:rsid w:val="005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A8F"/>
  </w:style>
  <w:style w:type="character" w:styleId="Odkaznakomentr">
    <w:name w:val="annotation reference"/>
    <w:basedOn w:val="Predvolenpsmoodseku"/>
    <w:uiPriority w:val="99"/>
    <w:semiHidden/>
    <w:unhideWhenUsed/>
    <w:rsid w:val="008D2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2D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2D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D8E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0380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03806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03806"/>
    <w:rPr>
      <w:vertAlign w:val="superscript"/>
    </w:rPr>
  </w:style>
  <w:style w:type="paragraph" w:styleId="Revzia">
    <w:name w:val="Revision"/>
    <w:hidden/>
    <w:uiPriority w:val="99"/>
    <w:semiHidden/>
    <w:rsid w:val="00FB6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6529-8D4D-4E65-9816-3C87DE79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7626</Characters>
  <Application>Microsoft Office Word</Application>
  <DocSecurity>4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Veselková Marcela</dc:creator>
  <cp:lastModifiedBy>Eva Cahojova</cp:lastModifiedBy>
  <cp:revision>2</cp:revision>
  <cp:lastPrinted>2018-04-12T10:00:00Z</cp:lastPrinted>
  <dcterms:created xsi:type="dcterms:W3CDTF">2018-04-12T12:16:00Z</dcterms:created>
  <dcterms:modified xsi:type="dcterms:W3CDTF">2018-04-12T12:16:00Z</dcterms:modified>
</cp:coreProperties>
</file>